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07AA4" w14:textId="35CBA745" w:rsidR="00EA7719" w:rsidRDefault="00AE5845" w:rsidP="00AA125E">
      <w:pPr>
        <w:pStyle w:val="Nagwek1"/>
      </w:pPr>
      <w:r w:rsidRPr="00EE0272">
        <w:rPr>
          <w:b/>
          <w:noProof/>
          <w:color w:val="000099"/>
          <w:sz w:val="36"/>
          <w:szCs w:val="36"/>
          <w:lang w:eastAsia="pl-PL"/>
        </w:rPr>
        <w:drawing>
          <wp:inline distT="0" distB="0" distL="0" distR="0" wp14:anchorId="60DCC0DB" wp14:editId="0EB7D7B8">
            <wp:extent cx="8890328" cy="872490"/>
            <wp:effectExtent l="0" t="0" r="6350" b="3810"/>
  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444" cy="87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6CED7" w14:textId="77777777" w:rsidR="0095700D" w:rsidRDefault="0095700D" w:rsidP="0095700D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Załącznik do Uchwały </w:t>
      </w:r>
    </w:p>
    <w:p w14:paraId="5869E2EC" w14:textId="6F5BD221" w:rsidR="0095700D" w:rsidRDefault="0095700D" w:rsidP="0095700D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Nr 208/2026 KM FEO 2021-2027</w:t>
      </w:r>
    </w:p>
    <w:p w14:paraId="71336940" w14:textId="22278E3B" w:rsidR="0095700D" w:rsidRDefault="0095700D" w:rsidP="0095700D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 dnia 12 czerwca 2026 r.</w:t>
      </w:r>
    </w:p>
    <w:p w14:paraId="0868E45D" w14:textId="77777777" w:rsidR="00893CF0" w:rsidRDefault="00893CF0" w:rsidP="000167EE">
      <w:pPr>
        <w:rPr>
          <w:b/>
          <w:color w:val="000099"/>
          <w:sz w:val="36"/>
          <w:szCs w:val="36"/>
        </w:rPr>
      </w:pPr>
    </w:p>
    <w:p w14:paraId="0AE18171" w14:textId="5044FDF6" w:rsidR="00CC3269" w:rsidRDefault="00CC3269" w:rsidP="00CC3269">
      <w:pPr>
        <w:rPr>
          <w:b/>
          <w:color w:val="000099"/>
          <w:sz w:val="36"/>
          <w:szCs w:val="36"/>
        </w:rPr>
      </w:pPr>
      <w:r>
        <w:rPr>
          <w:b/>
          <w:color w:val="000099"/>
          <w:sz w:val="36"/>
          <w:szCs w:val="36"/>
        </w:rPr>
        <w:t>KRYTERIA MERYTORYCZNE SZCZEGÓŁOWE DLA DZIAŁANIA</w:t>
      </w:r>
    </w:p>
    <w:p w14:paraId="082F89CC" w14:textId="77777777" w:rsidR="00CC3269" w:rsidRDefault="00CC3269" w:rsidP="00CC3269">
      <w:pPr>
        <w:rPr>
          <w:b/>
          <w:color w:val="000099"/>
          <w:sz w:val="36"/>
          <w:szCs w:val="36"/>
        </w:rPr>
      </w:pPr>
      <w:r>
        <w:rPr>
          <w:b/>
          <w:color w:val="000099"/>
          <w:sz w:val="36"/>
          <w:szCs w:val="36"/>
        </w:rPr>
        <w:t>14.1. ROZWÓJ TECHNOLOGII DUAL-USE</w:t>
      </w:r>
    </w:p>
    <w:p w14:paraId="6D637330" w14:textId="77777777" w:rsidR="00D72D55" w:rsidRDefault="00D72D55" w:rsidP="00CC3269">
      <w:pPr>
        <w:pStyle w:val="Bezodstpw"/>
        <w:rPr>
          <w:rFonts w:cs="Calibri"/>
          <w:b/>
          <w:bCs/>
          <w:color w:val="000099"/>
          <w:sz w:val="36"/>
          <w:szCs w:val="36"/>
        </w:rPr>
      </w:pPr>
    </w:p>
    <w:p w14:paraId="22C5FE00" w14:textId="36E7959D" w:rsidR="00CC3269" w:rsidRDefault="00CC3269" w:rsidP="00CC3269">
      <w:pPr>
        <w:pStyle w:val="Bezodstpw"/>
        <w:rPr>
          <w:rFonts w:cs="Calibri"/>
          <w:b/>
          <w:bCs/>
          <w:color w:val="000099"/>
          <w:sz w:val="36"/>
          <w:szCs w:val="36"/>
        </w:rPr>
      </w:pPr>
      <w:r>
        <w:rPr>
          <w:rFonts w:cs="Calibri"/>
          <w:b/>
          <w:bCs/>
          <w:color w:val="000099"/>
          <w:sz w:val="36"/>
          <w:szCs w:val="36"/>
        </w:rPr>
        <w:t>Dotyczy: typów przedsięwzięć</w:t>
      </w:r>
      <w:r>
        <w:rPr>
          <w:rFonts w:cs="Calibri"/>
          <w:bCs/>
          <w:sz w:val="36"/>
          <w:szCs w:val="36"/>
        </w:rPr>
        <w:t xml:space="preserve"> </w:t>
      </w:r>
      <w:r>
        <w:rPr>
          <w:rFonts w:cs="Calibri"/>
          <w:b/>
          <w:bCs/>
          <w:color w:val="000099"/>
          <w:sz w:val="36"/>
          <w:szCs w:val="36"/>
        </w:rPr>
        <w:t>nr 2 i 3 zgodnie z SZOP FEO 2021-2027</w:t>
      </w:r>
    </w:p>
    <w:p w14:paraId="20AE03E5" w14:textId="77777777" w:rsidR="00CC3269" w:rsidRDefault="00CC3269" w:rsidP="00CC3269">
      <w:pPr>
        <w:spacing w:after="0"/>
        <w:jc w:val="center"/>
        <w:rPr>
          <w:b/>
          <w:color w:val="000099"/>
          <w:sz w:val="36"/>
          <w:szCs w:val="36"/>
          <w:lang w:eastAsia="pl-PL"/>
        </w:rPr>
      </w:pPr>
    </w:p>
    <w:p w14:paraId="4ED81D04" w14:textId="77777777" w:rsidR="00CC3269" w:rsidRDefault="00CC3269" w:rsidP="00CC3269">
      <w:pPr>
        <w:pStyle w:val="Bezodstpw"/>
        <w:rPr>
          <w:rFonts w:cs="Calibri"/>
          <w:b/>
          <w:bCs/>
          <w:color w:val="000099"/>
          <w:sz w:val="36"/>
          <w:szCs w:val="36"/>
        </w:rPr>
      </w:pPr>
      <w:r>
        <w:rPr>
          <w:rFonts w:cs="Calibri"/>
          <w:b/>
          <w:bCs/>
          <w:color w:val="000099"/>
          <w:sz w:val="36"/>
          <w:szCs w:val="36"/>
        </w:rPr>
        <w:t>(postępowanie konkurencyjne)</w:t>
      </w:r>
    </w:p>
    <w:p w14:paraId="53DDFE77" w14:textId="77777777" w:rsidR="00CC3269" w:rsidRDefault="00CC3269" w:rsidP="00CC3269">
      <w:pPr>
        <w:pStyle w:val="Bezodstpw"/>
        <w:rPr>
          <w:rFonts w:cs="Calibri"/>
          <w:b/>
          <w:bCs/>
          <w:color w:val="000099"/>
          <w:sz w:val="36"/>
          <w:szCs w:val="36"/>
        </w:rPr>
      </w:pPr>
    </w:p>
    <w:p w14:paraId="0677F72C" w14:textId="77777777" w:rsidR="00CC3269" w:rsidRDefault="00CC3269" w:rsidP="00CC3269">
      <w:pPr>
        <w:pStyle w:val="Bezodstpw"/>
        <w:rPr>
          <w:rFonts w:cs="Calibri"/>
          <w:b/>
          <w:bCs/>
          <w:color w:val="000099"/>
          <w:sz w:val="36"/>
          <w:szCs w:val="36"/>
        </w:rPr>
      </w:pPr>
    </w:p>
    <w:p w14:paraId="43520197" w14:textId="77777777" w:rsidR="00CC3269" w:rsidRDefault="00CC3269" w:rsidP="00CC3269">
      <w:pPr>
        <w:pStyle w:val="Bezodstpw"/>
        <w:rPr>
          <w:rFonts w:eastAsia="Times New Roman" w:cs="Calibri"/>
          <w:b/>
          <w:bCs/>
          <w:color w:val="000099"/>
          <w:sz w:val="40"/>
          <w:szCs w:val="40"/>
        </w:rPr>
      </w:pPr>
      <w:r>
        <w:rPr>
          <w:rFonts w:eastAsia="Times New Roman" w:cs="Calibri"/>
          <w:b/>
          <w:bCs/>
          <w:color w:val="000099"/>
          <w:sz w:val="40"/>
          <w:szCs w:val="40"/>
        </w:rPr>
        <w:t>Zakres: Europejski Fundusz Rozwoju Regionalnego</w:t>
      </w:r>
    </w:p>
    <w:p w14:paraId="3C13D6F2" w14:textId="77777777" w:rsidR="00CC3269" w:rsidRDefault="00CC3269" w:rsidP="00CC3269">
      <w:pPr>
        <w:rPr>
          <w:b/>
          <w:color w:val="000099"/>
          <w:sz w:val="36"/>
          <w:szCs w:val="36"/>
        </w:rPr>
      </w:pPr>
    </w:p>
    <w:p w14:paraId="20FD5579" w14:textId="0AEA4EDF" w:rsidR="00501379" w:rsidRDefault="00CC3269" w:rsidP="00CC3269">
      <w:pPr>
        <w:rPr>
          <w:b/>
          <w:color w:val="000099"/>
          <w:sz w:val="32"/>
          <w:szCs w:val="32"/>
        </w:rPr>
      </w:pPr>
      <w:r>
        <w:rPr>
          <w:b/>
          <w:color w:val="000099"/>
          <w:sz w:val="32"/>
          <w:szCs w:val="32"/>
        </w:rPr>
        <w:t xml:space="preserve">Opole, </w:t>
      </w:r>
      <w:r w:rsidR="00833D93">
        <w:rPr>
          <w:b/>
          <w:color w:val="000099"/>
          <w:sz w:val="32"/>
          <w:szCs w:val="32"/>
        </w:rPr>
        <w:t>czerwiec</w:t>
      </w:r>
      <w:r>
        <w:rPr>
          <w:b/>
          <w:color w:val="000099"/>
          <w:sz w:val="32"/>
          <w:szCs w:val="32"/>
        </w:rPr>
        <w:t xml:space="preserve"> 2026 </w:t>
      </w:r>
      <w:r w:rsidR="00D11E95">
        <w:rPr>
          <w:b/>
          <w:color w:val="000099"/>
          <w:sz w:val="32"/>
          <w:szCs w:val="32"/>
        </w:rPr>
        <w:t>r.</w:t>
      </w:r>
    </w:p>
    <w:tbl>
      <w:tblPr>
        <w:tblW w:w="15877" w:type="dxa"/>
        <w:tblInd w:w="-856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5"/>
        <w:gridCol w:w="11482"/>
      </w:tblGrid>
      <w:tr w:rsidR="00D11E95" w:rsidRPr="00D11E95" w14:paraId="3ABDAAC3" w14:textId="77777777" w:rsidTr="00D11E95">
        <w:trPr>
          <w:trHeight w:val="305"/>
          <w:tblHeader/>
        </w:trPr>
        <w:tc>
          <w:tcPr>
            <w:tcW w:w="439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CD900CA" w14:textId="77777777" w:rsidR="00D11E95" w:rsidRPr="00D11E95" w:rsidRDefault="00D11E95" w:rsidP="00D11E95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11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4C0018A1" w14:textId="5ECE9F93" w:rsidR="00D11E95" w:rsidRPr="00D11E95" w:rsidRDefault="00D11E95" w:rsidP="00D11E95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14</w:t>
            </w: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 xml:space="preserve"> </w:t>
            </w:r>
            <w:r w:rsidRPr="00DB6A3F">
              <w:rPr>
                <w:b/>
                <w:bCs/>
                <w:color w:val="000099"/>
                <w:sz w:val="24"/>
                <w:szCs w:val="24"/>
              </w:rPr>
              <w:t>FUNDUSZE EUROPEJSKIE NA RZECZ ZDOLNOŚCI OBRONNYCH OPOLSKIEGO</w:t>
            </w:r>
          </w:p>
        </w:tc>
      </w:tr>
      <w:tr w:rsidR="00D11E95" w:rsidRPr="00D11E95" w14:paraId="4D53B2C3" w14:textId="77777777" w:rsidTr="00D11E95">
        <w:trPr>
          <w:trHeight w:val="305"/>
          <w:tblHeader/>
        </w:trPr>
        <w:tc>
          <w:tcPr>
            <w:tcW w:w="439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94CBF41" w14:textId="77777777" w:rsidR="00D11E95" w:rsidRPr="00D11E95" w:rsidRDefault="00D11E95" w:rsidP="00D11E95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3051CDDF" w14:textId="58D3D5E5" w:rsidR="00D11E95" w:rsidRPr="00D11E95" w:rsidRDefault="00D11E95" w:rsidP="00D11E95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14</w:t>
            </w: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 xml:space="preserve">.1 </w:t>
            </w: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Rozwój technologii dual-</w:t>
            </w:r>
            <w:proofErr w:type="spellStart"/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use</w:t>
            </w:r>
            <w:proofErr w:type="spellEnd"/>
          </w:p>
        </w:tc>
      </w:tr>
      <w:tr w:rsidR="00D11E95" w:rsidRPr="00D11E95" w14:paraId="0FB1E2DA" w14:textId="77777777" w:rsidTr="00D11E95">
        <w:trPr>
          <w:trHeight w:val="305"/>
          <w:tblHeader/>
        </w:trPr>
        <w:tc>
          <w:tcPr>
            <w:tcW w:w="1587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1EFDB902" w14:textId="04EF6A0A" w:rsidR="00D11E95" w:rsidRPr="00D11E95" w:rsidRDefault="00D11E95" w:rsidP="00D11E95">
            <w:pPr>
              <w:keepNext/>
              <w:keepLines/>
              <w:tabs>
                <w:tab w:val="right" w:leader="dot" w:pos="9060"/>
              </w:tabs>
              <w:spacing w:after="0"/>
              <w:outlineLvl w:val="2"/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Dotyczy postępowania konkurencyjnego dla typ</w:t>
            </w:r>
            <w:r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ów</w:t>
            </w: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 przedsięwzię</w:t>
            </w:r>
            <w:r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ć</w:t>
            </w: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:</w:t>
            </w:r>
          </w:p>
          <w:p w14:paraId="6754CDBD" w14:textId="77777777" w:rsidR="00D11E95" w:rsidRPr="00D11E95" w:rsidRDefault="00D11E95" w:rsidP="00D11E95">
            <w:pPr>
              <w:pStyle w:val="Akapitzlist"/>
              <w:numPr>
                <w:ilvl w:val="0"/>
                <w:numId w:val="48"/>
              </w:numPr>
              <w:spacing w:after="0"/>
              <w:rPr>
                <w:color w:val="000099"/>
                <w:sz w:val="24"/>
                <w:szCs w:val="24"/>
              </w:rPr>
            </w:pPr>
            <w:r w:rsidRPr="00D11E95">
              <w:rPr>
                <w:color w:val="000099"/>
                <w:sz w:val="24"/>
                <w:szCs w:val="24"/>
              </w:rPr>
              <w:t xml:space="preserve">Prace B+R w kierunku technologii dual 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use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 xml:space="preserve"> i pro-obronne, m.in. badania przemysłowe, prace rozwojowe, prototypy, 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demonstratory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 xml:space="preserve"> oraz inne rozwiązania pro-obronne o istotnym znaczeniu dla odporności i logistyki (np. umundurowanie i obuwie specjalistyczne, osłony i zabezpieczenia pojazdów, żywność polowa i medyczna, suplementy).</w:t>
            </w:r>
          </w:p>
          <w:p w14:paraId="06AF5739" w14:textId="40FDE55C" w:rsidR="00D11E95" w:rsidRPr="00D11E95" w:rsidRDefault="00D11E95" w:rsidP="00D11E95">
            <w:pPr>
              <w:pStyle w:val="Akapitzlist"/>
              <w:numPr>
                <w:ilvl w:val="0"/>
                <w:numId w:val="48"/>
              </w:numPr>
              <w:spacing w:after="0"/>
              <w:rPr>
                <w:color w:val="000099"/>
              </w:rPr>
            </w:pPr>
            <w:r w:rsidRPr="00D11E95">
              <w:rPr>
                <w:color w:val="000099"/>
                <w:sz w:val="24"/>
                <w:szCs w:val="24"/>
              </w:rPr>
              <w:t>Infrastruktura B+R przedsiębiorstw oraz jednostek naukowych, m.in. rozwój aparatury, stanowisk badawczych i środowisk testowych (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living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>-lab/test-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bed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>), oprogramowanie inżynierskie, poligony testowe i laboratoria wspólne dla technologii dual-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use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 xml:space="preserve"> i pro-obronnych.</w:t>
            </w:r>
          </w:p>
        </w:tc>
      </w:tr>
    </w:tbl>
    <w:p w14:paraId="0D59443F" w14:textId="77777777" w:rsidR="00501379" w:rsidRPr="00090BF6" w:rsidRDefault="00501379" w:rsidP="00501379">
      <w:pPr>
        <w:spacing w:after="0" w:line="240" w:lineRule="auto"/>
        <w:rPr>
          <w:b/>
          <w:color w:val="000099"/>
          <w:sz w:val="2"/>
          <w:szCs w:val="2"/>
        </w:rPr>
      </w:pPr>
    </w:p>
    <w:tbl>
      <w:tblPr>
        <w:tblpPr w:leftFromText="141" w:rightFromText="141" w:vertAnchor="text" w:tblpX="-860" w:tblpY="1"/>
        <w:tblOverlap w:val="never"/>
        <w:tblW w:w="5671" w:type="pct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5"/>
        <w:gridCol w:w="2488"/>
        <w:gridCol w:w="9833"/>
        <w:gridCol w:w="3114"/>
      </w:tblGrid>
      <w:tr w:rsidR="00BE0FBE" w:rsidRPr="00561723" w14:paraId="27D32CF6" w14:textId="77777777" w:rsidTr="00BE0FBE">
        <w:trPr>
          <w:trHeight w:val="552"/>
          <w:tblHeader/>
        </w:trPr>
        <w:tc>
          <w:tcPr>
            <w:tcW w:w="5000" w:type="pct"/>
            <w:gridSpan w:val="4"/>
            <w:shd w:val="clear" w:color="auto" w:fill="D9D9D9" w:themeFill="background1" w:themeFillShade="D9"/>
            <w:noWrap/>
            <w:vAlign w:val="center"/>
          </w:tcPr>
          <w:p w14:paraId="4D288DC2" w14:textId="74F599B3" w:rsidR="00BE0FBE" w:rsidRPr="00BE0FBE" w:rsidRDefault="00BE0FBE" w:rsidP="00BE0FBE">
            <w:pPr>
              <w:spacing w:before="120" w:after="120" w:line="240" w:lineRule="auto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D320D4">
              <w:rPr>
                <w:rFonts w:asciiTheme="minorHAnsi" w:hAnsiTheme="minorHAnsi" w:cstheme="minorHAnsi"/>
                <w:b/>
                <w:color w:val="000099"/>
                <w:sz w:val="24"/>
                <w:szCs w:val="24"/>
              </w:rPr>
              <w:t>Kryteria merytoryczne szczegółowe (TAK/NIE)</w:t>
            </w:r>
          </w:p>
        </w:tc>
      </w:tr>
      <w:tr w:rsidR="0095700D" w:rsidRPr="00561723" w14:paraId="577F2C46" w14:textId="4C2D6108" w:rsidTr="00BE0FBE">
        <w:trPr>
          <w:trHeight w:val="552"/>
          <w:tblHeader/>
        </w:trPr>
        <w:tc>
          <w:tcPr>
            <w:tcW w:w="137" w:type="pct"/>
            <w:shd w:val="clear" w:color="auto" w:fill="D9D9D9" w:themeFill="background1" w:themeFillShade="D9"/>
            <w:noWrap/>
            <w:vAlign w:val="center"/>
          </w:tcPr>
          <w:p w14:paraId="349BCD20" w14:textId="41CEBFCE" w:rsidR="0095700D" w:rsidRPr="00BE0FBE" w:rsidRDefault="0095700D" w:rsidP="00DF15F9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BE0FBE">
              <w:rPr>
                <w:rFonts w:cs="Calibr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784" w:type="pct"/>
            <w:shd w:val="clear" w:color="auto" w:fill="D9D9D9" w:themeFill="background1" w:themeFillShade="D9"/>
            <w:noWrap/>
            <w:vAlign w:val="center"/>
          </w:tcPr>
          <w:p w14:paraId="58190CDB" w14:textId="77777777" w:rsidR="0095700D" w:rsidRPr="00BE0FBE" w:rsidRDefault="0095700D" w:rsidP="00DF15F9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BE0FBE">
              <w:rPr>
                <w:rFonts w:cs="Calibr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3098" w:type="pct"/>
            <w:shd w:val="clear" w:color="auto" w:fill="D9D9D9" w:themeFill="background1" w:themeFillShade="D9"/>
            <w:vAlign w:val="center"/>
          </w:tcPr>
          <w:p w14:paraId="540F0B4B" w14:textId="77777777" w:rsidR="0095700D" w:rsidRPr="00BE0FBE" w:rsidRDefault="0095700D" w:rsidP="00DF15F9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BE0FBE">
              <w:rPr>
                <w:rFonts w:cs="Calibr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981" w:type="pct"/>
            <w:shd w:val="clear" w:color="auto" w:fill="D9D9D9" w:themeFill="background1" w:themeFillShade="D9"/>
            <w:vAlign w:val="center"/>
          </w:tcPr>
          <w:p w14:paraId="60311F00" w14:textId="77777777" w:rsidR="0095700D" w:rsidRPr="00BE0FBE" w:rsidRDefault="0095700D" w:rsidP="00DF15F9">
            <w:pPr>
              <w:spacing w:before="120" w:after="120" w:line="240" w:lineRule="auto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BE0FBE">
              <w:rPr>
                <w:rFonts w:cs="Calibr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95700D" w:rsidRPr="00561723" w14:paraId="2AA362C7" w14:textId="35A006AB" w:rsidTr="00BE0FBE">
        <w:trPr>
          <w:trHeight w:val="255"/>
          <w:tblHeader/>
        </w:trPr>
        <w:tc>
          <w:tcPr>
            <w:tcW w:w="137" w:type="pct"/>
            <w:shd w:val="clear" w:color="auto" w:fill="F2F2F2" w:themeFill="background1" w:themeFillShade="F2"/>
            <w:noWrap/>
            <w:vAlign w:val="bottom"/>
          </w:tcPr>
          <w:p w14:paraId="44D25B23" w14:textId="77777777" w:rsidR="0095700D" w:rsidRPr="00561723" w:rsidRDefault="0095700D" w:rsidP="00DF15F9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1</w:t>
            </w:r>
          </w:p>
        </w:tc>
        <w:tc>
          <w:tcPr>
            <w:tcW w:w="784" w:type="pct"/>
            <w:shd w:val="clear" w:color="auto" w:fill="F2F2F2" w:themeFill="background1" w:themeFillShade="F2"/>
            <w:noWrap/>
            <w:vAlign w:val="bottom"/>
          </w:tcPr>
          <w:p w14:paraId="54FF2228" w14:textId="77777777" w:rsidR="0095700D" w:rsidRPr="00561723" w:rsidRDefault="0095700D" w:rsidP="00DF15F9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2</w:t>
            </w:r>
          </w:p>
        </w:tc>
        <w:tc>
          <w:tcPr>
            <w:tcW w:w="3098" w:type="pct"/>
            <w:shd w:val="clear" w:color="auto" w:fill="F2F2F2" w:themeFill="background1" w:themeFillShade="F2"/>
            <w:vAlign w:val="bottom"/>
          </w:tcPr>
          <w:p w14:paraId="5ACE4D91" w14:textId="77777777" w:rsidR="0095700D" w:rsidRPr="00561723" w:rsidRDefault="0095700D" w:rsidP="00DF15F9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3</w:t>
            </w:r>
          </w:p>
        </w:tc>
        <w:tc>
          <w:tcPr>
            <w:tcW w:w="981" w:type="pct"/>
            <w:shd w:val="clear" w:color="auto" w:fill="F2F2F2" w:themeFill="background1" w:themeFillShade="F2"/>
          </w:tcPr>
          <w:p w14:paraId="3782A93D" w14:textId="77777777" w:rsidR="0095700D" w:rsidRPr="00561723" w:rsidRDefault="0095700D" w:rsidP="00DF15F9">
            <w:pPr>
              <w:spacing w:before="120" w:after="120"/>
              <w:jc w:val="center"/>
              <w:rPr>
                <w:rFonts w:cs="Calibri"/>
                <w:bCs/>
                <w:i/>
                <w:color w:val="000099"/>
                <w:sz w:val="24"/>
                <w:szCs w:val="24"/>
              </w:rPr>
            </w:pPr>
            <w:r w:rsidRPr="00561723">
              <w:rPr>
                <w:rFonts w:cs="Calibri"/>
                <w:bCs/>
                <w:i/>
                <w:color w:val="000099"/>
                <w:sz w:val="24"/>
                <w:szCs w:val="24"/>
              </w:rPr>
              <w:t>4</w:t>
            </w:r>
          </w:p>
        </w:tc>
      </w:tr>
      <w:tr w:rsidR="0095700D" w:rsidRPr="00CC3269" w14:paraId="222C01D0" w14:textId="68622C75" w:rsidTr="00BE0FBE">
        <w:trPr>
          <w:trHeight w:val="644"/>
        </w:trPr>
        <w:tc>
          <w:tcPr>
            <w:tcW w:w="137" w:type="pct"/>
            <w:noWrap/>
            <w:vAlign w:val="center"/>
          </w:tcPr>
          <w:p w14:paraId="5911290F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784" w:type="pct"/>
            <w:vAlign w:val="center"/>
          </w:tcPr>
          <w:p w14:paraId="02610A35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Projekt spełnia kryteria inwestycji początkowej (jeśli dotyczy)</w:t>
            </w:r>
          </w:p>
        </w:tc>
        <w:tc>
          <w:tcPr>
            <w:tcW w:w="3098" w:type="pct"/>
            <w:vAlign w:val="center"/>
          </w:tcPr>
          <w:p w14:paraId="5FD139FD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Kryteria inwestycji początkowej zgodnie z zapisami Rozporządzenia Ministra Funduszy i Polityki Regionalnej z dnia 11 października 2022 r. w sprawie udzielania regionalnej pomocy inwestycyjnej w ramach programów regionalnych na lata 2021-2027.</w:t>
            </w:r>
          </w:p>
          <w:p w14:paraId="78AA9B97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dotyczy jedynie projektów objętych Regionalną Pomocą Inwestycyjną.</w:t>
            </w:r>
          </w:p>
          <w:p w14:paraId="441FEA4A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1" w:type="pct"/>
            <w:vAlign w:val="center"/>
          </w:tcPr>
          <w:p w14:paraId="176BEB3B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95700D" w:rsidRPr="00CC3269" w14:paraId="7F64FF4E" w14:textId="3F5398B2" w:rsidTr="00D72D55">
        <w:trPr>
          <w:trHeight w:val="4232"/>
        </w:trPr>
        <w:tc>
          <w:tcPr>
            <w:tcW w:w="137" w:type="pct"/>
            <w:noWrap/>
            <w:vAlign w:val="center"/>
          </w:tcPr>
          <w:p w14:paraId="0D4E5811" w14:textId="77777777" w:rsidR="0095700D" w:rsidRPr="00CC3269" w:rsidRDefault="0095700D" w:rsidP="00DF15F9">
            <w:pPr>
              <w:spacing w:before="120" w:after="120"/>
              <w:rPr>
                <w:rFonts w:cs="Calibri"/>
              </w:rPr>
            </w:pPr>
            <w:r w:rsidRPr="00CC3269">
              <w:rPr>
                <w:rFonts w:cs="Calibri"/>
              </w:rPr>
              <w:lastRenderedPageBreak/>
              <w:t>2.</w:t>
            </w:r>
          </w:p>
        </w:tc>
        <w:tc>
          <w:tcPr>
            <w:tcW w:w="784" w:type="pct"/>
            <w:vAlign w:val="center"/>
          </w:tcPr>
          <w:p w14:paraId="11952CF1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Prawidłowo określono poziom pomocy de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 (jeśli dotyczy)</w:t>
            </w:r>
          </w:p>
        </w:tc>
        <w:tc>
          <w:tcPr>
            <w:tcW w:w="3098" w:type="pct"/>
            <w:vAlign w:val="center"/>
          </w:tcPr>
          <w:p w14:paraId="22E9C5D6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Bada się, czy przedsiębiorca nie przekracza dopuszczalnej, możliwej do uzyskania przez jedno przedsiębiorstwo wielkości pomocy de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. </w:t>
            </w:r>
          </w:p>
          <w:p w14:paraId="37990371" w14:textId="7E355808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Pomoc de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 udzielana jest na podstawie Rozporządzenia Ministra Funduszy i Polityki Regionalnej z dnia 17 kwietnia 2024 r. w sprawie udzielania pomocy de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 w ramach regionalnych programów na lata 2021-2027.</w:t>
            </w:r>
          </w:p>
          <w:p w14:paraId="7D5763A0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W rozporządzeniu określona została maksymalna kwota pomocy, jaką Państwo udzielić może jednemu podmiotowi gospodarczemu na przestrzeni 3 lat.</w:t>
            </w:r>
          </w:p>
          <w:p w14:paraId="1C95FCDE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Kryterium dotyczy jedynie projektów objętych pomocą de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minimis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>.</w:t>
            </w:r>
          </w:p>
          <w:p w14:paraId="02C49EDD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 oraz na podstawie Systemu Udostępniania Danych o Pomocy Publicznej (SUDOP).</w:t>
            </w:r>
          </w:p>
        </w:tc>
        <w:tc>
          <w:tcPr>
            <w:tcW w:w="981" w:type="pct"/>
            <w:vAlign w:val="center"/>
          </w:tcPr>
          <w:p w14:paraId="4C0F3B5B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95700D" w:rsidRPr="00CC3269" w14:paraId="172983F7" w14:textId="2E318CED" w:rsidTr="00BE0FBE">
        <w:trPr>
          <w:trHeight w:val="695"/>
        </w:trPr>
        <w:tc>
          <w:tcPr>
            <w:tcW w:w="137" w:type="pct"/>
            <w:noWrap/>
            <w:vAlign w:val="center"/>
          </w:tcPr>
          <w:p w14:paraId="300C0070" w14:textId="708E8E0F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784" w:type="pct"/>
            <w:vAlign w:val="center"/>
          </w:tcPr>
          <w:p w14:paraId="5779A3E0" w14:textId="4FA08DD1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Projekt spełnia warunki dotyczące zwiększonej intensywności pomocy w zakresie badań przemysłowych i eksperymentalnych prac rozwojowych (dotyczy typu 2)</w:t>
            </w:r>
          </w:p>
        </w:tc>
        <w:tc>
          <w:tcPr>
            <w:tcW w:w="3098" w:type="pct"/>
            <w:vAlign w:val="center"/>
          </w:tcPr>
          <w:p w14:paraId="25947A96" w14:textId="2A55156E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Bada się, czy w przypadku zwiększenia przez wnioskodawcę intensywności pomocy na badania przemysłowe i eksperymentalne prace rozwojowe – spełniono warunki wynikające z art. 25 ust. 6 Rozporządzenia Komisji (UE) nr 651/2014 z dnia 17 czerwca 2014 r. uznające niektóre rodzaje pomocy za zgodne z rynkiem wewnętrznym w zastosowaniu art. 107 i 108 Traktatu.</w:t>
            </w:r>
          </w:p>
          <w:p w14:paraId="7090A462" w14:textId="4C2FA5BB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1" w:type="pct"/>
            <w:vAlign w:val="center"/>
          </w:tcPr>
          <w:p w14:paraId="77FF45E6" w14:textId="56569101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95700D" w:rsidRPr="00CC3269" w14:paraId="280749A4" w14:textId="72DCCB82" w:rsidTr="00BE0FBE">
        <w:trPr>
          <w:trHeight w:val="418"/>
        </w:trPr>
        <w:tc>
          <w:tcPr>
            <w:tcW w:w="137" w:type="pct"/>
            <w:noWrap/>
            <w:vAlign w:val="center"/>
          </w:tcPr>
          <w:p w14:paraId="60A33DBC" w14:textId="339C8368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784" w:type="pct"/>
            <w:vAlign w:val="center"/>
          </w:tcPr>
          <w:p w14:paraId="71842C70" w14:textId="30D40214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Projekt nie dotyczy produktów objętych rygorem specjalnym </w:t>
            </w:r>
          </w:p>
        </w:tc>
        <w:tc>
          <w:tcPr>
            <w:tcW w:w="3098" w:type="pct"/>
            <w:vAlign w:val="center"/>
          </w:tcPr>
          <w:p w14:paraId="5D67651E" w14:textId="1D23EBF0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Projekt nie dotyczy produktów objętych rygorem specjalnym zgodnie z Rozporządzeniem Rady Ministrów z dnia 17 września 2019 r. w sprawie klasyfikacji rodzajów materiałów wybuchowych, broni, amunicji oraz wyrobów i technologii o przeznaczeniu wojskowym lub policyjnym, na których wytwarzanie lub obrót jest wymagane uzyskanie koncesji.</w:t>
            </w:r>
          </w:p>
          <w:p w14:paraId="65A08270" w14:textId="57F1D866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1" w:type="pct"/>
            <w:vAlign w:val="center"/>
          </w:tcPr>
          <w:p w14:paraId="59B8F7CD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95700D" w:rsidRPr="00CC3269" w14:paraId="0BD9ACA6" w14:textId="6DDF45B5" w:rsidTr="00BE0FBE">
        <w:trPr>
          <w:trHeight w:val="418"/>
        </w:trPr>
        <w:tc>
          <w:tcPr>
            <w:tcW w:w="137" w:type="pct"/>
            <w:noWrap/>
            <w:vAlign w:val="center"/>
          </w:tcPr>
          <w:p w14:paraId="0E16B0F1" w14:textId="7BD4DBB5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784" w:type="pct"/>
            <w:vAlign w:val="center"/>
          </w:tcPr>
          <w:p w14:paraId="2A104F18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Projekt dotyczy technologii podwójnego zastosowania lub pro-obronnych  </w:t>
            </w:r>
          </w:p>
          <w:p w14:paraId="178ED436" w14:textId="68233760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</w:p>
        </w:tc>
        <w:tc>
          <w:tcPr>
            <w:tcW w:w="3098" w:type="pct"/>
            <w:vAlign w:val="center"/>
          </w:tcPr>
          <w:p w14:paraId="777B5FCE" w14:textId="7CD6EE10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Rozwój, wdrożenie lub prace B+R technologii podwójnego zastosowania i pro-obronnych muszą prowadzić do opracowania oraz praktycznego wykorzystania technologii, produktów lub procesów możliwych do zastosowania zarówno w obszarach cywilnych, jak i związanych z bezpieczeństwem lub obronnością. Technologie podwójnego zastosowania zostały określone w Załączniku I do Rozporządzenie Parlamentu Europejskiego i Rady (UE) 2021/821 z dnia 20 maja 2021 r. ustanawiające unijny system kontroli wywozu, pośrednictwa, pomocy technicznej, tranzytu i transferu produktów podwójnego zastosowania.</w:t>
            </w:r>
          </w:p>
          <w:p w14:paraId="0108FD4B" w14:textId="4EF87899" w:rsidR="0095700D" w:rsidRPr="007736BE" w:rsidRDefault="0095700D" w:rsidP="004933CB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Dodatkowo katalog rozwiązań pro-obronnych </w:t>
            </w:r>
            <w:r w:rsidRPr="007736BE">
              <w:rPr>
                <w:sz w:val="24"/>
                <w:szCs w:val="24"/>
              </w:rPr>
              <w:t xml:space="preserve"> możliwych do wsparcia  został określony w dokumencie pn. „Analiza dotycząca możliwych form wsparcia dla przedsiębiorców w ramach Działania 14.1 Rozwój technologii dual-</w:t>
            </w:r>
            <w:proofErr w:type="spellStart"/>
            <w:r w:rsidRPr="007736BE">
              <w:rPr>
                <w:sz w:val="24"/>
                <w:szCs w:val="24"/>
              </w:rPr>
              <w:t>use</w:t>
            </w:r>
            <w:proofErr w:type="spellEnd"/>
            <w:r w:rsidRPr="007736BE">
              <w:rPr>
                <w:sz w:val="24"/>
                <w:szCs w:val="24"/>
              </w:rPr>
              <w:t xml:space="preserve"> oraz Działania 17.1 Edukacja w budowaniu odporności instytucji i przedsiębiorstw Programu Fundusze Europejskie dla Opolskiego 2021–2027”</w:t>
            </w:r>
            <w:r w:rsidRPr="007736BE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5D6FDA1B" w14:textId="0647811F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1" w:type="pct"/>
            <w:vAlign w:val="center"/>
          </w:tcPr>
          <w:p w14:paraId="270F2A62" w14:textId="658D71C6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95700D" w:rsidRPr="00CC3269" w14:paraId="3D4FCB35" w14:textId="02D3965F" w:rsidTr="00BE0FBE">
        <w:trPr>
          <w:trHeight w:val="644"/>
        </w:trPr>
        <w:tc>
          <w:tcPr>
            <w:tcW w:w="137" w:type="pct"/>
            <w:noWrap/>
            <w:vAlign w:val="center"/>
          </w:tcPr>
          <w:p w14:paraId="45C26D6B" w14:textId="316487CE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784" w:type="pct"/>
            <w:vAlign w:val="center"/>
          </w:tcPr>
          <w:p w14:paraId="4EEC8D51" w14:textId="2D86E68A" w:rsidR="0095700D" w:rsidRPr="007736BE" w:rsidRDefault="0095700D" w:rsidP="00DF15F9">
            <w:pPr>
              <w:spacing w:before="120" w:after="120"/>
              <w:rPr>
                <w:rFonts w:eastAsia="Calibri" w:cs="Calibri"/>
                <w:sz w:val="24"/>
                <w:szCs w:val="24"/>
                <w:highlight w:val="yellow"/>
              </w:rPr>
            </w:pPr>
            <w:r w:rsidRPr="007736BE">
              <w:rPr>
                <w:rFonts w:eastAsia="Calibri" w:cs="Calibri"/>
                <w:sz w:val="24"/>
                <w:szCs w:val="24"/>
              </w:rPr>
              <w:t>Zaplanowane prace B+R są adekwatne i niezbędne do osiągnięcia celu projektu, a ryzyka z nim związane zostały zdefiniowane (dotyczy typu 2)</w:t>
            </w:r>
          </w:p>
        </w:tc>
        <w:tc>
          <w:tcPr>
            <w:tcW w:w="3098" w:type="pct"/>
            <w:vAlign w:val="center"/>
          </w:tcPr>
          <w:p w14:paraId="2468F954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W ramach kryterium ocenie podlega, czy: </w:t>
            </w:r>
          </w:p>
          <w:p w14:paraId="6A31C309" w14:textId="63AA2A7A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w kontekście wskazanej potrzeby społecznej/gospodarczej/rynkowej problem technologiczny został poprawnie zidentyfikowany w odniesieniu do celu i przedmiotu projektu; </w:t>
            </w:r>
          </w:p>
          <w:p w14:paraId="121420F7" w14:textId="7ADED5AE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wskazany problem technologiczny jest precyzyjnie określony; </w:t>
            </w:r>
          </w:p>
          <w:p w14:paraId="29415E67" w14:textId="74A7A45C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zaplanowane prace B+R są niezbędne do osiągnięcia celu projektu/rozwiązania problemu technologicznego; </w:t>
            </w:r>
          </w:p>
          <w:p w14:paraId="4BCF5183" w14:textId="213C44FC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w kontekście wskazanego celu projektu/problemu technologicznego zaplanowane prace B+R są adekwatne; </w:t>
            </w:r>
          </w:p>
          <w:p w14:paraId="6B76DBFD" w14:textId="4D52EE30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planowane prace B+R zostały podzielone na jasno sprecyzowane i układające się w logiczną całość - etapy; </w:t>
            </w:r>
          </w:p>
          <w:p w14:paraId="49E26B1A" w14:textId="6BA0C04D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precyzyjnie określono efekt końcowy/kamień milowy każdego z etapów oraz wpływ braku jego osiągnięcia na zasadność kontynuacji projektu; </w:t>
            </w:r>
          </w:p>
          <w:p w14:paraId="0E339765" w14:textId="0376BFD5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zakładane rezultaty prac B+R są możliwe do osiągnięcia w kontekście zakładanego harmonogramu i budżetu; </w:t>
            </w:r>
          </w:p>
          <w:p w14:paraId="6C43B416" w14:textId="008B83EA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zidentyfikowano i precyzyjnie opisano ewentualne ryzyka związane z pracami B+R; </w:t>
            </w:r>
          </w:p>
          <w:p w14:paraId="23968873" w14:textId="39BED928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• uwzględniono (jeśli dotyczy) inne niż technologiczne ewentualne ryzyka/ zagrożenia/wymogi prawno-administracyjne. </w:t>
            </w:r>
          </w:p>
          <w:p w14:paraId="6369BF39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Kryterium uznaje się za spełnione w sytuacji, gdy zostały spełnione wszystkie ww. warunki. </w:t>
            </w:r>
          </w:p>
          <w:p w14:paraId="2C913C13" w14:textId="72CAA6B1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  <w:highlight w:val="yellow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Kryterium weryfikowane na podstawie zapisów wniosku o dofinansowanie i załączników i/lub wyjaśnień udzielonych przez Wnioskodawcę.</w:t>
            </w:r>
          </w:p>
        </w:tc>
        <w:tc>
          <w:tcPr>
            <w:tcW w:w="981" w:type="pct"/>
            <w:vAlign w:val="center"/>
          </w:tcPr>
          <w:p w14:paraId="5ABA6F61" w14:textId="1A408F29" w:rsidR="0095700D" w:rsidRPr="00CC3269" w:rsidRDefault="00BE0FBE" w:rsidP="00DF15F9">
            <w:pPr>
              <w:spacing w:before="120" w:after="120"/>
              <w:rPr>
                <w:rFonts w:cs="Calibri"/>
                <w:highlight w:val="yellow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5700D" w:rsidRPr="00CC3269" w14:paraId="72A10C0E" w14:textId="4D1D6005" w:rsidTr="00BE0FBE">
        <w:trPr>
          <w:trHeight w:val="644"/>
        </w:trPr>
        <w:tc>
          <w:tcPr>
            <w:tcW w:w="137" w:type="pct"/>
            <w:noWrap/>
            <w:vAlign w:val="center"/>
          </w:tcPr>
          <w:p w14:paraId="39338A78" w14:textId="2E288A15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784" w:type="pct"/>
            <w:vAlign w:val="center"/>
          </w:tcPr>
          <w:p w14:paraId="0953EBBF" w14:textId="72A2DAD2" w:rsidR="0095700D" w:rsidRPr="007736BE" w:rsidRDefault="0095700D" w:rsidP="00DF15F9">
            <w:pPr>
              <w:spacing w:before="120" w:after="120"/>
              <w:rPr>
                <w:rFonts w:eastAsia="Calibri" w:cs="Calibri"/>
                <w:sz w:val="24"/>
                <w:szCs w:val="24"/>
              </w:rPr>
            </w:pPr>
            <w:r w:rsidRPr="007736BE">
              <w:rPr>
                <w:rFonts w:eastAsia="Calibri" w:cs="Calibri"/>
                <w:sz w:val="24"/>
                <w:szCs w:val="24"/>
              </w:rPr>
              <w:t>Agenda badawcza (dotyczy typu 3)</w:t>
            </w:r>
          </w:p>
        </w:tc>
        <w:tc>
          <w:tcPr>
            <w:tcW w:w="3098" w:type="pct"/>
            <w:vAlign w:val="center"/>
          </w:tcPr>
          <w:p w14:paraId="393F8482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W przypadku projektu zawierającego koszty inwestycji w tworzenie/rozbudowę infrastruktury B+R przedstawiono agendę badawczą.</w:t>
            </w:r>
          </w:p>
          <w:p w14:paraId="54CB4D30" w14:textId="535F34D6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Agenda badawcza powinna zawierać następujące elementy:</w:t>
            </w:r>
          </w:p>
          <w:p w14:paraId="165CFBBD" w14:textId="1F1E864C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• główne innowacyjne obszary badawcze;</w:t>
            </w:r>
          </w:p>
          <w:p w14:paraId="08323836" w14:textId="7C1F009F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• indykatywny (orientacyjny) plan prac badawczo-rozwojowych, obejmujący co najmniej okres trwałości projektu;</w:t>
            </w:r>
          </w:p>
          <w:p w14:paraId="09A32C17" w14:textId="44CB8D08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• przewidywane wyniki i/lub rezultaty zaplanowanych prac badawczo rozwojowych (rezultaty realizacji agendy – efekty, które zamierza osiągnąć przedsiębiorca), w tym w szczególności innowacje produktowe lub procesowe i ich przewidywaną przewagę konkurencyjną;</w:t>
            </w:r>
          </w:p>
          <w:p w14:paraId="53DF11DF" w14:textId="0280A75D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• analizę zapotrzebowania rynkowego na wyniki prac B+R;</w:t>
            </w:r>
          </w:p>
          <w:p w14:paraId="2FBD7599" w14:textId="7585F804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• założenia strategii rozwoju działalności przedsiębiorstwa w oparciu o prace B+R;</w:t>
            </w:r>
          </w:p>
          <w:p w14:paraId="12554367" w14:textId="2A0E8C0A" w:rsidR="0095700D" w:rsidRPr="007736BE" w:rsidRDefault="0095700D" w:rsidP="00DF15F9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• ryzyka projektowe.</w:t>
            </w:r>
          </w:p>
          <w:p w14:paraId="6C079192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Agenda badawcza musi być spójna z opisem projektu.</w:t>
            </w:r>
          </w:p>
          <w:p w14:paraId="0E9F9455" w14:textId="79686EFE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1" w:type="pct"/>
            <w:vAlign w:val="center"/>
          </w:tcPr>
          <w:p w14:paraId="1B0A3BB3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bezwzględne (0/1)</w:t>
            </w:r>
          </w:p>
        </w:tc>
      </w:tr>
      <w:tr w:rsidR="0095700D" w:rsidRPr="00CC3269" w14:paraId="71B8CC0F" w14:textId="52A7F611" w:rsidTr="00BE0FBE">
        <w:trPr>
          <w:trHeight w:val="644"/>
        </w:trPr>
        <w:tc>
          <w:tcPr>
            <w:tcW w:w="137" w:type="pct"/>
            <w:noWrap/>
            <w:vAlign w:val="center"/>
          </w:tcPr>
          <w:p w14:paraId="4CA1618F" w14:textId="71E6459B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8. </w:t>
            </w:r>
          </w:p>
        </w:tc>
        <w:tc>
          <w:tcPr>
            <w:tcW w:w="784" w:type="pct"/>
            <w:vAlign w:val="center"/>
          </w:tcPr>
          <w:p w14:paraId="662887EF" w14:textId="50BBEE97" w:rsidR="0095700D" w:rsidRPr="007736BE" w:rsidRDefault="0095700D" w:rsidP="00DF15F9">
            <w:pPr>
              <w:spacing w:before="120" w:after="120"/>
              <w:rPr>
                <w:rFonts w:eastAsia="Calibri" w:cs="Calibri"/>
                <w:sz w:val="24"/>
                <w:szCs w:val="24"/>
                <w:highlight w:val="green"/>
              </w:rPr>
            </w:pPr>
            <w:r w:rsidRPr="007736BE">
              <w:rPr>
                <w:rFonts w:eastAsia="Calibri" w:cs="Calibri"/>
                <w:sz w:val="24"/>
                <w:szCs w:val="24"/>
              </w:rPr>
              <w:t xml:space="preserve">Projekt dotyczy badań przemysłowych i </w:t>
            </w:r>
            <w:r w:rsidRPr="007736BE">
              <w:rPr>
                <w:rFonts w:eastAsia="Calibri" w:cs="Calibri"/>
                <w:sz w:val="24"/>
                <w:szCs w:val="24"/>
              </w:rPr>
              <w:lastRenderedPageBreak/>
              <w:t xml:space="preserve">eksperymentalnych prac rozwojowych albo samych eksperymentalnych prac rozwojowych </w:t>
            </w:r>
            <w:r w:rsidRPr="007736BE">
              <w:rPr>
                <w:rFonts w:cs="Calibri"/>
                <w:sz w:val="24"/>
                <w:szCs w:val="24"/>
              </w:rPr>
              <w:t>w</w:t>
            </w:r>
            <w:r w:rsidRPr="007736BE">
              <w:rPr>
                <w:rFonts w:eastAsia="Calibri" w:cs="Calibri"/>
                <w:sz w:val="24"/>
                <w:szCs w:val="24"/>
              </w:rPr>
              <w:t xml:space="preserve"> kierunku technologii dual </w:t>
            </w:r>
            <w:proofErr w:type="spellStart"/>
            <w:r w:rsidRPr="007736BE">
              <w:rPr>
                <w:rFonts w:eastAsia="Calibri" w:cs="Calibri"/>
                <w:sz w:val="24"/>
                <w:szCs w:val="24"/>
              </w:rPr>
              <w:t>use</w:t>
            </w:r>
            <w:proofErr w:type="spellEnd"/>
            <w:r w:rsidRPr="007736BE">
              <w:rPr>
                <w:rFonts w:eastAsia="Calibri" w:cs="Calibri"/>
                <w:sz w:val="24"/>
                <w:szCs w:val="24"/>
              </w:rPr>
              <w:t xml:space="preserve"> i pro-obronnych</w:t>
            </w:r>
          </w:p>
        </w:tc>
        <w:tc>
          <w:tcPr>
            <w:tcW w:w="3098" w:type="pct"/>
            <w:vAlign w:val="center"/>
          </w:tcPr>
          <w:p w14:paraId="5AF5972F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W ramach kryterium ocenie podlega, czy:</w:t>
            </w:r>
          </w:p>
          <w:p w14:paraId="4BF1AA43" w14:textId="71CBD51B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 xml:space="preserve">- projekt ma charakter projektu badawczego, w którym przewidziano realizację badań przemysłowych i eksperymentalnych prac rozwojowych albo eksperymentalnych prac rozwojowych, w których zadania planowane do realizacji w ramach projektu zostały prawidłowo przypisane do kategorii: badań przemysłowych albo eksperymentalnych prac rozwojowych. Prace te powinny być prowadzone w kierunku technologii dual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 i pro-obronnych, m.in. badania przemysłowe, prace rozwojowe, prototypy,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demonstratory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 oraz inne rozwiązania pro-obronne o istotnym znaczeniu dla odporności i logistyki (np. umundurowanie i obuwie specjalistyczne, osłony i zabezpieczenia pojazdów, żywność polowa i medyczna, suplementy),</w:t>
            </w:r>
          </w:p>
          <w:p w14:paraId="04ECF906" w14:textId="4578FFB4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lub</w:t>
            </w:r>
          </w:p>
          <w:p w14:paraId="02682F9D" w14:textId="063193E9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- zakupywana infrastruktura służyć będzie do prowadzenia badań przemysłowych i eksperymentalnych prac rozwojowych albo samych eksperymentalnych prac rozwojowych, a ich efektem będzie m.in. rozwój aparatury, stanowisk badawczych i środowisk testowych (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living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>-lab/test-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bed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>), oprogramowanie inżynierskie, poligony testowe i laboratoria wspólne dla technologii dual-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use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 i pro-obronnych.</w:t>
            </w:r>
          </w:p>
          <w:p w14:paraId="111DAE6D" w14:textId="54A60E12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Przez badania przemysłowe i eksperymentalne prace rozwojowe należy rozumieć badania przemysłowe i eksperymentalne prace rozwojowe, o których mowa w art. 2 pkt 85 i 86 rozporządzenia Komisji (UE) nr 651/2014:</w:t>
            </w:r>
          </w:p>
          <w:p w14:paraId="3AB93628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Badania przemysłowe -  oznaczają badania planowane lub badania krytyczne mające na celu zdobycie nowej wiedzy i umiejętności celem opracowania nowych produktów, procesów lub usług lub mające na celu wprowadzenie znaczących ulepszeń do istniejących produktów, procesów lub usług, w tym produktów, procesów lub usług cyfrowych, w dowolnej dziedzinie, dowolnej branży lub dowolnym sektorze (w tym między innymi w branżach i technologiach cyfrowych, takich jak </w:t>
            </w:r>
            <w:r w:rsidRPr="007736BE">
              <w:rPr>
                <w:rFonts w:cs="Calibri"/>
                <w:sz w:val="24"/>
                <w:szCs w:val="24"/>
              </w:rPr>
              <w:lastRenderedPageBreak/>
              <w:t xml:space="preserve">obliczenia superkomputerowe, technologie kwantowe, technologie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blockchain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, sztuczna inteligencja,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cyberbezpieczeństwo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>, duże zbiory danych i technologie związane z chmurą).</w:t>
            </w:r>
          </w:p>
          <w:p w14:paraId="6E5F7CF6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Badania przemysłowe uwzględniają tworzenie elementów składowych systemów złożonych i mogą obejmować budowę prototypów w środowisku laboratoryjnym lub środowisku interfejsu symulującego istniejące systemy, a także linii pilotażowych, kiedy są one konieczne do badań przemysłowych, a zwłaszcza uzyskania dowodu w przypadku technologii generycznych.</w:t>
            </w:r>
          </w:p>
          <w:p w14:paraId="6049E0CD" w14:textId="5FDEA6D3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Eksperymentalne prace rozwojowe –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7736BE">
              <w:rPr>
                <w:rFonts w:cs="Calibri"/>
                <w:sz w:val="24"/>
                <w:szCs w:val="24"/>
              </w:rPr>
              <w:t xml:space="preserve">oznaczają zdobywanie, łączenie, kształtowanie i wykorzystywanie dostępnych aktualnie umiejętności i wiedzy oraz innych stosownych umiejętności i wiedzy w celu opracowania nowych lub ulepszonych produktów, procesów lub usług, w tym produktów, procesów lub usług cyfrowych, w dowolnej dziedzinie, dowolnej branży lub dowolnym sektorze (w tym między innymi w branżach i technologiach cyfrowych, takich jak obliczenia superkomputerowe, technologie kwantowe, technologie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blockchain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 xml:space="preserve">, sztuczna inteligencja, </w:t>
            </w:r>
            <w:proofErr w:type="spellStart"/>
            <w:r w:rsidRPr="007736BE">
              <w:rPr>
                <w:rFonts w:cs="Calibri"/>
                <w:sz w:val="24"/>
                <w:szCs w:val="24"/>
              </w:rPr>
              <w:t>cyberbezpieczeństwo</w:t>
            </w:r>
            <w:proofErr w:type="spellEnd"/>
            <w:r w:rsidRPr="007736BE">
              <w:rPr>
                <w:rFonts w:cs="Calibri"/>
                <w:sz w:val="24"/>
                <w:szCs w:val="24"/>
              </w:rPr>
              <w:t>, duże zbiory danych i technologie związane z chmurą lub technologie przetwarzania brzegowego). Mogą one także obejmować np. czynności mające na celu pojęciowe definiowanie, planowanie oraz dokumentowanie nowych produktów, procesów lub usług.</w:t>
            </w:r>
          </w:p>
          <w:p w14:paraId="0D4206FF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Eksperymentalne prace rozwojowe mogą obejmować opracowywanie prototypów, demonstracje, opracowywanie projektów pilotażowych, testowanie i walidację nowych lub ulepszonych produktów, procesów lub usług w otoczeniu stanowiącym model warunków rzeczywistego funkcjonowania, których głównym celem jest dalsze udoskonalenie techniczne produktów, procesów lub usług, których ostateczny kształt zasadniczo nie jest jeszcze określony. Mogą obejmować opracowywanie prototypów i projektów pilotażowych, które można wykorzystać do celów komercyjnych, w przypadku gdy prototyp lub projekt pilotażowy z konieczności jest </w:t>
            </w:r>
            <w:r w:rsidRPr="007736BE">
              <w:rPr>
                <w:rFonts w:cs="Calibri"/>
                <w:sz w:val="24"/>
                <w:szCs w:val="24"/>
              </w:rPr>
              <w:lastRenderedPageBreak/>
              <w:t>produktem końcowym do wykorzystania do celów komercyjnych, a jego produkcja jest zbyt kosztowna, aby służył on jedynie do demonstracji i walidacji.</w:t>
            </w:r>
          </w:p>
          <w:p w14:paraId="3913150B" w14:textId="77777777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Eksperymentalne prace rozwojowe nie obejmują rutynowych lub okresowych zmian wprowadzanych do istniejących produktów, linii produkcyjnych, procesów wytwórczych, usług oraz innych operacji w toku, nawet jeśli takie zmiany mają charakter ulepszeń.</w:t>
            </w:r>
          </w:p>
          <w:p w14:paraId="3BF3C5A0" w14:textId="2C1B0783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981" w:type="pct"/>
            <w:vAlign w:val="center"/>
          </w:tcPr>
          <w:p w14:paraId="11F150E3" w14:textId="67351462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  <w:highlight w:val="green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95700D" w:rsidRPr="00CC3269" w14:paraId="04B41E34" w14:textId="29531E9C" w:rsidTr="00BE0FBE">
        <w:trPr>
          <w:trHeight w:val="644"/>
        </w:trPr>
        <w:tc>
          <w:tcPr>
            <w:tcW w:w="137" w:type="pct"/>
            <w:noWrap/>
            <w:vAlign w:val="center"/>
          </w:tcPr>
          <w:p w14:paraId="476D22BA" w14:textId="0A33F76D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9.</w:t>
            </w:r>
          </w:p>
        </w:tc>
        <w:tc>
          <w:tcPr>
            <w:tcW w:w="784" w:type="pct"/>
            <w:vAlign w:val="center"/>
          </w:tcPr>
          <w:p w14:paraId="40DA1CDA" w14:textId="47D1F12B" w:rsidR="0095700D" w:rsidRPr="007736BE" w:rsidRDefault="0095700D" w:rsidP="00DF15F9">
            <w:pPr>
              <w:spacing w:before="120" w:after="120"/>
              <w:rPr>
                <w:rFonts w:eastAsia="Calibri" w:cs="Calibri"/>
                <w:sz w:val="24"/>
                <w:szCs w:val="24"/>
              </w:rPr>
            </w:pPr>
            <w:r w:rsidRPr="007736BE">
              <w:rPr>
                <w:rFonts w:eastAsia="Calibri" w:cs="Calibri"/>
                <w:sz w:val="24"/>
                <w:szCs w:val="24"/>
              </w:rPr>
              <w:t>Skala innowacji produktowych i/lub innowacji procesów biznesowych w zakresie produkcji wyrobów lub usług będących rezultatem projektu (dotyczy typu 2)</w:t>
            </w:r>
          </w:p>
        </w:tc>
        <w:tc>
          <w:tcPr>
            <w:tcW w:w="3098" w:type="pct"/>
            <w:vAlign w:val="center"/>
          </w:tcPr>
          <w:p w14:paraId="10161EC9" w14:textId="3E8AF921" w:rsidR="0095700D" w:rsidRPr="007736BE" w:rsidRDefault="0095700D" w:rsidP="007736BE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Innowacje produktowe i/lub innowacji procesów biznesowych w zakresie produkcji wyrobów lub usług, będące rezultatem projektu, są innowacyjne co najmniej w skali regionu (województwa).</w:t>
            </w:r>
          </w:p>
          <w:p w14:paraId="3BA7B01B" w14:textId="27FD9D2B" w:rsidR="0095700D" w:rsidRPr="007736BE" w:rsidRDefault="0095700D" w:rsidP="007736BE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W tym kryterium oceniający opiera się na:</w:t>
            </w:r>
          </w:p>
          <w:p w14:paraId="2B1BC04B" w14:textId="3282BE7B" w:rsidR="0095700D" w:rsidRPr="007736BE" w:rsidRDefault="0095700D" w:rsidP="007736BE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 xml:space="preserve"> - opinii wystawionej przez niezależnego i niezwiązanego z Wnioskodawcą eksperta (naukowca/badacza) z danej dziedziny nauki, potwierdzonej przez przedstawiciela jednostki B+R. Wzór opinii stanowi załącznik do Regulaminu wyboru projektów.</w:t>
            </w:r>
          </w:p>
          <w:p w14:paraId="62ACD7D5" w14:textId="7B768620" w:rsidR="0095700D" w:rsidRPr="007736BE" w:rsidRDefault="0095700D" w:rsidP="007736BE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System szkolnictwa wyższego i nauki zgodnie z Ustawą Prawo o szkolnictwie wyższym i nauce, tworzą jednostki B+R:</w:t>
            </w:r>
          </w:p>
          <w:p w14:paraId="1BE0F760" w14:textId="64603370" w:rsidR="0095700D" w:rsidRPr="007736BE" w:rsidRDefault="0095700D" w:rsidP="007736BE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1. Uczelnie;</w:t>
            </w:r>
          </w:p>
          <w:p w14:paraId="207ECE0E" w14:textId="03AFE553" w:rsidR="0095700D" w:rsidRPr="007736BE" w:rsidRDefault="0095700D" w:rsidP="007736BE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2. Federacje podmiotów systemu szkolnictwa wyższego i nauki, zwane dalej „federacjami”;</w:t>
            </w:r>
          </w:p>
          <w:p w14:paraId="3BB3C10F" w14:textId="4A6AF8BF" w:rsidR="0095700D" w:rsidRPr="007736BE" w:rsidRDefault="0095700D" w:rsidP="007736BE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3. Polska Akademia Nauk, działająca na podstawie ustawy z dnia 30 kwietnia 2010 r. o Polskiej Akademii Nauk (Dz. U. z 2020 r. poz. 1796), zwana dalej „PAN”;</w:t>
            </w:r>
          </w:p>
          <w:p w14:paraId="7A022B58" w14:textId="1B27E630" w:rsidR="0095700D" w:rsidRPr="007736BE" w:rsidRDefault="0095700D" w:rsidP="007736BE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4. Instytuty naukowe PAN, działające na podstawie ustawy, o której mowa w pkt 3, zwane dalej „instytutami PAN”;</w:t>
            </w:r>
          </w:p>
          <w:p w14:paraId="4045D970" w14:textId="5A08B580" w:rsidR="0095700D" w:rsidRPr="007736BE" w:rsidRDefault="0095700D" w:rsidP="007736BE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5. Instytuty badawcze, działające na podstawie ustawy z dnia 30 kwietnia 2010 r. o instytutach badawczych (Dz. U. z 2022 r. poz. 498);</w:t>
            </w:r>
          </w:p>
          <w:p w14:paraId="52B36AF0" w14:textId="441594CA" w:rsidR="0095700D" w:rsidRPr="007736BE" w:rsidRDefault="0095700D" w:rsidP="007736BE">
            <w:pPr>
              <w:spacing w:before="120" w:after="120"/>
              <w:ind w:left="211" w:hanging="142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6. Międzynarodowe instytuty naukowe utworzone na podstawie odrębnych ustaw działające na terytorium Rzeczypospolitej Polskiej, zwane dalej „instytutami międzynarodowymi”;</w:t>
            </w:r>
          </w:p>
          <w:p w14:paraId="481A5D71" w14:textId="77777777" w:rsidR="0095700D" w:rsidRPr="007736BE" w:rsidRDefault="0095700D" w:rsidP="007736BE">
            <w:pPr>
              <w:spacing w:before="120" w:after="120"/>
              <w:ind w:left="211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6.a. Centrum Łukasiewicz, działające na podstawie ustawy z dnia 21 lutego 2019 r. o Sieci Badawczej Łukasiewicz (Dz. U. z 2020 r. poz. 2098);</w:t>
            </w:r>
          </w:p>
          <w:p w14:paraId="367F933D" w14:textId="77777777" w:rsidR="0095700D" w:rsidRPr="007736BE" w:rsidRDefault="0095700D" w:rsidP="007736BE">
            <w:pPr>
              <w:spacing w:before="120" w:after="120"/>
              <w:ind w:left="211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6.b. instytuty działające w ramach Sieci Badawczej Łukasiewicz, zwane dalej „instytutami Sieci Łukasiewicz”;</w:t>
            </w:r>
          </w:p>
          <w:p w14:paraId="5740672C" w14:textId="2EF0AEFB" w:rsidR="0095700D" w:rsidRPr="007736BE" w:rsidRDefault="0095700D" w:rsidP="00D72D55">
            <w:pPr>
              <w:spacing w:before="120" w:after="120"/>
              <w:ind w:left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7. Polska Akademia Umiejętności, zwana dalej „PAU”;</w:t>
            </w:r>
          </w:p>
          <w:p w14:paraId="5CC2DEEC" w14:textId="12A26DD8" w:rsidR="0095700D" w:rsidRPr="007736BE" w:rsidRDefault="0095700D" w:rsidP="00D72D55">
            <w:pPr>
              <w:spacing w:before="120" w:after="120"/>
              <w:ind w:left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8. Inne podmioty prowadzące głównie działalność naukową w sposób samodzielny i ciągły*.</w:t>
            </w:r>
          </w:p>
          <w:p w14:paraId="77FC4A7A" w14:textId="7257B2AF" w:rsidR="0095700D" w:rsidRPr="007736BE" w:rsidRDefault="0095700D" w:rsidP="007736BE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*Jednocześnie w przypadku tych podmiotów konieczna jest ich zakończona pozytywna ewaluacja w oparciu o szczegółowe kryteria określone we właściwym rozporządzeniu Ministra Nauki i Szkolnictwa Wyższego lub w przypadku laboratoriów badawczych nadana przez PCA akredytacja.</w:t>
            </w:r>
          </w:p>
          <w:p w14:paraId="24C22967" w14:textId="1C9D5552" w:rsidR="0095700D" w:rsidRPr="007736BE" w:rsidRDefault="0095700D" w:rsidP="007736BE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Kryterium weryfikowane na podstawie zapisów wniosku o dofinansowanie i załączników i/lub wyjaśnień udzielonych przez Wnioskodawcę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736BE">
              <w:rPr>
                <w:rFonts w:cs="Calibri"/>
                <w:sz w:val="24"/>
                <w:szCs w:val="24"/>
              </w:rPr>
              <w:t xml:space="preserve"> </w:t>
            </w:r>
          </w:p>
          <w:p w14:paraId="0A91A486" w14:textId="47BB0A4B" w:rsidR="0095700D" w:rsidRPr="007736BE" w:rsidRDefault="0095700D" w:rsidP="007736BE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t>Oceniana jest również opinia wystawiona przez analogiczną zagraniczną jednostkę naukową.</w:t>
            </w:r>
          </w:p>
        </w:tc>
        <w:tc>
          <w:tcPr>
            <w:tcW w:w="981" w:type="pct"/>
            <w:vAlign w:val="center"/>
          </w:tcPr>
          <w:p w14:paraId="10616D8B" w14:textId="5FC4E82E" w:rsidR="0095700D" w:rsidRPr="007736BE" w:rsidRDefault="0095700D" w:rsidP="00DF15F9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7736BE">
              <w:rPr>
                <w:rFonts w:cs="Calibr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2758609C" w14:textId="77777777" w:rsidR="00501379" w:rsidRPr="00CC3269" w:rsidRDefault="00501379" w:rsidP="00501379">
      <w:pPr>
        <w:rPr>
          <w:rFonts w:cs="Calibri"/>
        </w:rPr>
      </w:pPr>
    </w:p>
    <w:p w14:paraId="6890342A" w14:textId="77777777" w:rsidR="00CE712C" w:rsidRDefault="00CE712C" w:rsidP="00501379">
      <w:pPr>
        <w:rPr>
          <w:rFonts w:cs="Calibri"/>
        </w:rPr>
      </w:pPr>
    </w:p>
    <w:p w14:paraId="0C0DE0F5" w14:textId="77777777" w:rsidR="00AE5845" w:rsidRDefault="00AE5845" w:rsidP="00501379">
      <w:pPr>
        <w:rPr>
          <w:rFonts w:cs="Calibri"/>
        </w:rPr>
      </w:pPr>
    </w:p>
    <w:p w14:paraId="282D55AF" w14:textId="77777777" w:rsidR="00AE5845" w:rsidRDefault="00AE5845" w:rsidP="00501379">
      <w:pPr>
        <w:rPr>
          <w:rFonts w:cs="Calibri"/>
        </w:rPr>
      </w:pPr>
    </w:p>
    <w:tbl>
      <w:tblPr>
        <w:tblW w:w="15877" w:type="dxa"/>
        <w:tblInd w:w="-998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37"/>
        <w:gridCol w:w="11340"/>
      </w:tblGrid>
      <w:tr w:rsidR="00D11E95" w:rsidRPr="00D11E95" w14:paraId="5AD37898" w14:textId="77777777" w:rsidTr="00D11E95">
        <w:trPr>
          <w:trHeight w:val="305"/>
          <w:tblHeader/>
        </w:trPr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053268FC" w14:textId="77777777" w:rsidR="00D11E95" w:rsidRPr="00D11E95" w:rsidRDefault="00D11E95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Priorytet</w:t>
            </w:r>
          </w:p>
        </w:tc>
        <w:tc>
          <w:tcPr>
            <w:tcW w:w="1134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79F22DC9" w14:textId="77777777" w:rsidR="00D11E95" w:rsidRPr="00D11E95" w:rsidRDefault="00D11E95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14</w:t>
            </w: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 xml:space="preserve"> </w:t>
            </w:r>
            <w:r w:rsidRPr="00DB6A3F">
              <w:rPr>
                <w:b/>
                <w:bCs/>
                <w:color w:val="000099"/>
                <w:sz w:val="24"/>
                <w:szCs w:val="24"/>
              </w:rPr>
              <w:t>FUNDUSZE EUROPEJSKIE NA RZECZ ZDOLNOŚCI OBRONNYCH OPOLSKIEGO</w:t>
            </w:r>
          </w:p>
        </w:tc>
      </w:tr>
      <w:tr w:rsidR="00D11E95" w:rsidRPr="00D11E95" w14:paraId="25B3ADE1" w14:textId="77777777" w:rsidTr="00D11E95">
        <w:trPr>
          <w:trHeight w:val="305"/>
          <w:tblHeader/>
        </w:trPr>
        <w:tc>
          <w:tcPr>
            <w:tcW w:w="45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7DC653BB" w14:textId="77777777" w:rsidR="00D11E95" w:rsidRPr="00D11E95" w:rsidRDefault="00D11E95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34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3C871815" w14:textId="77777777" w:rsidR="00D11E95" w:rsidRPr="00D11E95" w:rsidRDefault="00D11E95" w:rsidP="00D85BCA">
            <w:pP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14</w:t>
            </w: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 xml:space="preserve">.1 </w:t>
            </w:r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Rozwój technologii dual-</w:t>
            </w:r>
            <w:proofErr w:type="spellStart"/>
            <w:r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use</w:t>
            </w:r>
            <w:proofErr w:type="spellEnd"/>
          </w:p>
        </w:tc>
      </w:tr>
      <w:tr w:rsidR="00D11E95" w:rsidRPr="00D11E95" w14:paraId="5175904E" w14:textId="77777777" w:rsidTr="00D11E95">
        <w:trPr>
          <w:trHeight w:val="305"/>
          <w:tblHeader/>
        </w:trPr>
        <w:tc>
          <w:tcPr>
            <w:tcW w:w="1587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792258D1" w14:textId="77777777" w:rsidR="00D11E95" w:rsidRPr="00D11E95" w:rsidRDefault="00D11E95" w:rsidP="00D85BCA">
            <w:pPr>
              <w:keepNext/>
              <w:keepLines/>
              <w:tabs>
                <w:tab w:val="right" w:leader="dot" w:pos="9060"/>
              </w:tabs>
              <w:spacing w:after="0"/>
              <w:outlineLvl w:val="2"/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Dotyczy postępowania konkurencyjnego dla typ</w:t>
            </w:r>
            <w:r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ów</w:t>
            </w: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 przedsięwzię</w:t>
            </w:r>
            <w:r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ć</w:t>
            </w:r>
            <w:r w:rsidRPr="00D11E95">
              <w:rPr>
                <w:rFonts w:asciiTheme="minorHAnsi" w:eastAsia="Calibri" w:hAnsiTheme="minorHAnsi" w:cstheme="minorHAnsi"/>
                <w:b/>
                <w:bCs/>
                <w:color w:val="000099"/>
                <w:sz w:val="24"/>
                <w:szCs w:val="24"/>
                <w:u w:val="single"/>
              </w:rPr>
              <w:t>:</w:t>
            </w:r>
          </w:p>
          <w:p w14:paraId="35B64017" w14:textId="77777777" w:rsidR="00D11E95" w:rsidRPr="00D11E95" w:rsidRDefault="00D11E95" w:rsidP="00D11E95">
            <w:pPr>
              <w:pStyle w:val="Akapitzlist"/>
              <w:numPr>
                <w:ilvl w:val="0"/>
                <w:numId w:val="49"/>
              </w:numPr>
              <w:spacing w:after="0"/>
              <w:rPr>
                <w:color w:val="000099"/>
                <w:sz w:val="24"/>
                <w:szCs w:val="24"/>
              </w:rPr>
            </w:pPr>
            <w:r w:rsidRPr="00D11E95">
              <w:rPr>
                <w:color w:val="000099"/>
                <w:sz w:val="24"/>
                <w:szCs w:val="24"/>
              </w:rPr>
              <w:t xml:space="preserve">Prace B+R w kierunku technologii dual 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use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 xml:space="preserve"> i pro-obronne, m.in. badania przemysłowe, prace rozwojowe, prototypy, 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demonstratory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 xml:space="preserve"> oraz inne rozwiązania pro-obronne o istotnym znaczeniu dla odporności i logistyki (np. umundurowanie i obuwie specjalistyczne, osłony i zabezpieczenia pojazdów, żywność polowa i medyczna, suplementy).</w:t>
            </w:r>
          </w:p>
          <w:p w14:paraId="2BC57711" w14:textId="77777777" w:rsidR="00D11E95" w:rsidRPr="00D11E95" w:rsidRDefault="00D11E95" w:rsidP="00D11E95">
            <w:pPr>
              <w:pStyle w:val="Akapitzlist"/>
              <w:numPr>
                <w:ilvl w:val="0"/>
                <w:numId w:val="49"/>
              </w:numPr>
              <w:spacing w:after="0"/>
              <w:rPr>
                <w:color w:val="000099"/>
              </w:rPr>
            </w:pPr>
            <w:r w:rsidRPr="00D11E95">
              <w:rPr>
                <w:color w:val="000099"/>
                <w:sz w:val="24"/>
                <w:szCs w:val="24"/>
              </w:rPr>
              <w:t>Infrastruktura B+R przedsiębiorstw oraz jednostek naukowych, m.in. rozwój aparatury, stanowisk badawczych i środowisk testowych (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living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>-lab/test-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bed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>), oprogramowanie inżynierskie, poligony testowe i laboratoria wspólne dla technologii dual-</w:t>
            </w:r>
            <w:proofErr w:type="spellStart"/>
            <w:r w:rsidRPr="00D11E95">
              <w:rPr>
                <w:color w:val="000099"/>
                <w:sz w:val="24"/>
                <w:szCs w:val="24"/>
              </w:rPr>
              <w:t>use</w:t>
            </w:r>
            <w:proofErr w:type="spellEnd"/>
            <w:r w:rsidRPr="00D11E95">
              <w:rPr>
                <w:color w:val="000099"/>
                <w:sz w:val="24"/>
                <w:szCs w:val="24"/>
              </w:rPr>
              <w:t xml:space="preserve"> i pro-obronnych.</w:t>
            </w:r>
          </w:p>
        </w:tc>
      </w:tr>
    </w:tbl>
    <w:p w14:paraId="7D555AE2" w14:textId="77777777" w:rsidR="00BE0FBE" w:rsidRPr="00CC3269" w:rsidRDefault="00BE0FBE" w:rsidP="00501379">
      <w:pPr>
        <w:rPr>
          <w:rFonts w:cs="Calibri"/>
        </w:rPr>
      </w:pPr>
    </w:p>
    <w:tbl>
      <w:tblPr>
        <w:tblpPr w:leftFromText="141" w:rightFromText="141" w:vertAnchor="text" w:tblpXSpec="center" w:tblpY="1"/>
        <w:tblOverlap w:val="never"/>
        <w:tblW w:w="15871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3119"/>
        <w:gridCol w:w="8080"/>
        <w:gridCol w:w="1701"/>
        <w:gridCol w:w="1134"/>
        <w:gridCol w:w="1275"/>
      </w:tblGrid>
      <w:tr w:rsidR="00BE0FBE" w:rsidRPr="00D411D4" w14:paraId="29AD2235" w14:textId="77777777" w:rsidTr="00BE0FBE">
        <w:trPr>
          <w:trHeight w:val="416"/>
          <w:tblHeader/>
        </w:trPr>
        <w:tc>
          <w:tcPr>
            <w:tcW w:w="15871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565F8639" w14:textId="06F81AC1" w:rsidR="00BE0FBE" w:rsidRPr="007736BE" w:rsidRDefault="00BE0FBE" w:rsidP="00BE0FBE">
            <w:pPr>
              <w:spacing w:before="120" w:after="120"/>
              <w:rPr>
                <w:rFonts w:asciiTheme="minorHAnsi" w:eastAsia="Calibri" w:hAnsiTheme="minorHAnsi" w:cstheme="minorHAnsi"/>
                <w:b/>
                <w:color w:val="000099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Kryteria merytoryczne szczegółowe punktowane</w:t>
            </w:r>
          </w:p>
        </w:tc>
      </w:tr>
      <w:tr w:rsidR="0095700D" w:rsidRPr="00D411D4" w14:paraId="76333F1E" w14:textId="1786EBA2" w:rsidTr="00BE0FBE">
        <w:trPr>
          <w:trHeight w:val="683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6D94D3B9" w14:textId="77777777" w:rsidR="0095700D" w:rsidRPr="00BE0FBE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BE0FBE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L.p.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vAlign w:val="center"/>
          </w:tcPr>
          <w:p w14:paraId="018B4E95" w14:textId="618F90EA" w:rsidR="0095700D" w:rsidRPr="00BE0FBE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BE0FBE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58524CAB" w14:textId="77777777" w:rsidR="0095700D" w:rsidRPr="00BE0FBE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BE0FBE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543235" w14:textId="77777777" w:rsidR="0095700D" w:rsidRPr="00BE0FBE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BE0FBE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Opis znaczenia kryterium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170AC0" w14:textId="77777777" w:rsidR="0095700D" w:rsidRPr="00BE0FBE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BE0FBE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042603" w14:textId="77777777" w:rsidR="0095700D" w:rsidRPr="00BE0FBE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BE0FBE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Punktacja</w:t>
            </w:r>
          </w:p>
        </w:tc>
      </w:tr>
      <w:tr w:rsidR="0095700D" w:rsidRPr="00D411D4" w14:paraId="462C5B5F" w14:textId="5FA42B15" w:rsidTr="00BE0FBE">
        <w:trPr>
          <w:trHeight w:val="255"/>
          <w:tblHeader/>
        </w:trPr>
        <w:tc>
          <w:tcPr>
            <w:tcW w:w="562" w:type="dxa"/>
            <w:shd w:val="clear" w:color="auto" w:fill="F2F2F2" w:themeFill="background1" w:themeFillShade="F2"/>
            <w:noWrap/>
            <w:vAlign w:val="bottom"/>
          </w:tcPr>
          <w:p w14:paraId="27095B36" w14:textId="77777777" w:rsidR="0095700D" w:rsidRPr="00D11E95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noWrap/>
          </w:tcPr>
          <w:p w14:paraId="2CFCDD17" w14:textId="77777777" w:rsidR="0095700D" w:rsidRPr="00D11E95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8080" w:type="dxa"/>
            <w:shd w:val="clear" w:color="auto" w:fill="F2F2F2" w:themeFill="background1" w:themeFillShade="F2"/>
            <w:vAlign w:val="bottom"/>
          </w:tcPr>
          <w:p w14:paraId="7BBA9737" w14:textId="77777777" w:rsidR="0095700D" w:rsidRPr="00D11E95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bottom"/>
          </w:tcPr>
          <w:p w14:paraId="40480D58" w14:textId="77777777" w:rsidR="0095700D" w:rsidRPr="00D11E95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14:paraId="2734C642" w14:textId="77777777" w:rsidR="0095700D" w:rsidRPr="00D11E95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14:paraId="2EA68AEC" w14:textId="77777777" w:rsidR="0095700D" w:rsidRPr="00D11E95" w:rsidRDefault="0095700D" w:rsidP="00DF15F9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</w:pPr>
            <w:r w:rsidRPr="00D11E95">
              <w:rPr>
                <w:rFonts w:asciiTheme="minorHAnsi" w:eastAsia="Calibri" w:hAnsiTheme="minorHAnsi" w:cstheme="minorHAnsi"/>
                <w:b/>
                <w:color w:val="000099"/>
                <w:sz w:val="24"/>
                <w:szCs w:val="24"/>
              </w:rPr>
              <w:t>6</w:t>
            </w:r>
          </w:p>
        </w:tc>
      </w:tr>
      <w:tr w:rsidR="0095700D" w:rsidRPr="00CC3269" w14:paraId="274511A0" w14:textId="302276A1" w:rsidTr="00BE0FBE">
        <w:tc>
          <w:tcPr>
            <w:tcW w:w="562" w:type="dxa"/>
            <w:noWrap/>
            <w:vAlign w:val="center"/>
          </w:tcPr>
          <w:p w14:paraId="2EBA2AF9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119" w:type="dxa"/>
            <w:vAlign w:val="center"/>
          </w:tcPr>
          <w:p w14:paraId="370F55AB" w14:textId="411C0420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Projekt realizowany jest w partnerstwie i zakłada współpracę  </w:t>
            </w:r>
          </w:p>
        </w:tc>
        <w:tc>
          <w:tcPr>
            <w:tcW w:w="8080" w:type="dxa"/>
            <w:vAlign w:val="center"/>
          </w:tcPr>
          <w:p w14:paraId="7FE41220" w14:textId="2BF49CC0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W ramach kryterium premiowane będą inwestycje, które realizowane są w partnerstwie i zakładają współpracę z przedsiębiorstwami i/lub innymi podmiotami z sektora B+R.</w:t>
            </w:r>
          </w:p>
          <w:p w14:paraId="6B984557" w14:textId="77777777" w:rsidR="0095700D" w:rsidRPr="007736BE" w:rsidRDefault="0095700D" w:rsidP="00D72D55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Partnerstwo/współpraca może obejmować wspólne B+R, testy, pilotaże i standaryzacje oraz wymianę kadr celem stworzenia np. klastrów przemysłowych oraz udział w projektach międzynarodowych, które mogą przyczynić się do 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zwiększenia liczby innowacji, patentów i wdrożeń w obszarze podwójnego zastosowania i pro-obronnych.</w:t>
            </w:r>
          </w:p>
          <w:p w14:paraId="4BA91437" w14:textId="44F6F7A0" w:rsidR="0095700D" w:rsidRPr="007736BE" w:rsidRDefault="0095700D" w:rsidP="00D72D55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Partnerstwo/współpraca z jednostkami naukowymi</w:t>
            </w:r>
            <w:r w:rsidRPr="007736BE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1"/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i klastrami poza regionem będzie wspierana, jeśli prowadzi do transferu technologii i rozwoju łańcucha dostaw.</w:t>
            </w:r>
          </w:p>
          <w:p w14:paraId="30795454" w14:textId="4827310C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projekt nie jest realizowany w partnerstwie i nie zakłada współpracy;</w:t>
            </w:r>
          </w:p>
          <w:p w14:paraId="42BFDBDE" w14:textId="11C031D4" w:rsidR="0095700D" w:rsidRPr="007736BE" w:rsidRDefault="0095700D" w:rsidP="00D72D55">
            <w:pPr>
              <w:autoSpaceDE w:val="0"/>
              <w:autoSpaceDN w:val="0"/>
              <w:adjustRightInd w:val="0"/>
              <w:spacing w:before="120" w:after="120"/>
              <w:ind w:left="79" w:hanging="9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projekt jest realizowany w partnerstwie i zakłada współpracę; Kryterium weryfikowane na podstawie zapisów wniosku o dofinansowanie i załączników i/lub wyjaśnień udzielonych przez Wnioskodawcę.</w:t>
            </w:r>
          </w:p>
        </w:tc>
        <w:tc>
          <w:tcPr>
            <w:tcW w:w="1701" w:type="dxa"/>
            <w:vAlign w:val="center"/>
          </w:tcPr>
          <w:p w14:paraId="5562BD39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134" w:type="dxa"/>
            <w:vAlign w:val="center"/>
          </w:tcPr>
          <w:p w14:paraId="48020AEC" w14:textId="2642B561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1169EA10" w14:textId="032C6630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0-1 pkt</w:t>
            </w:r>
          </w:p>
        </w:tc>
      </w:tr>
      <w:tr w:rsidR="0095700D" w:rsidRPr="00CC3269" w14:paraId="255B101E" w14:textId="398EEEAC" w:rsidTr="00BE0FBE">
        <w:tc>
          <w:tcPr>
            <w:tcW w:w="562" w:type="dxa"/>
            <w:noWrap/>
            <w:vAlign w:val="center"/>
          </w:tcPr>
          <w:p w14:paraId="0EB980BC" w14:textId="7D666AEC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119" w:type="dxa"/>
            <w:vAlign w:val="center"/>
          </w:tcPr>
          <w:p w14:paraId="7D8C690F" w14:textId="1C7D75D3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Innowacyjność przedmiotu projektu</w:t>
            </w:r>
          </w:p>
        </w:tc>
        <w:tc>
          <w:tcPr>
            <w:tcW w:w="8080" w:type="dxa"/>
            <w:vAlign w:val="center"/>
          </w:tcPr>
          <w:p w14:paraId="643EC4A1" w14:textId="77777777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 w:hanging="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0 pkt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– projekt zakłada, że innowacje produktowe (wyrób/usługa) i/lub innowacja w procesie biznesowym w zakresie produkcji wyborów lub usług, będące jego rezultatem, będą innowacyjne w skali regionu (województwo);</w:t>
            </w:r>
          </w:p>
          <w:p w14:paraId="570A3E5C" w14:textId="141DE916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 w:hanging="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1 pkt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– projekt zakłada, że innowacje produktowe (wyrób/usługa) i/lub innowacja w procesie biznesowym w zakresie produkcji wyborów lub usług, będące jego rezultatem, będą innowacyjne w skali kraju;</w:t>
            </w:r>
          </w:p>
          <w:p w14:paraId="3F074283" w14:textId="4B52C2C2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 w:hanging="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2 pkt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– projekt zakłada, że innowacje produktowe (wyrób/usługa) i/lub innowacja w procesie biznesowym w zakresie produkcji wyborów lub usług, będące jego rezultatem, będą innowacyjne w skali świata.</w:t>
            </w:r>
          </w:p>
          <w:p w14:paraId="3C0CA288" w14:textId="2A81246F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lastRenderedPageBreak/>
              <w:t>Punkty nie sumują się.</w:t>
            </w:r>
          </w:p>
          <w:p w14:paraId="148F756F" w14:textId="5A83A4C4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W tym kryterium oceniający opiera się na:</w:t>
            </w:r>
          </w:p>
          <w:p w14:paraId="273BF63E" w14:textId="392C63BA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- opinii wystawionej przez niezależnego i nie związanego z Wnioskodawcą eksperta (naukowca/badacza) z danej dziedziny nauki, potwierdzonej przez przedstawiciela jednostki B+R. Wzór opinii stanowi załącznik do Regulaminu wyboru projektów.</w:t>
            </w:r>
          </w:p>
          <w:p w14:paraId="426276C0" w14:textId="773D8725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System szkolnictwa wyższego i nauki zgodnie z Ustawą Prawo o szkolnictwie wyższym i nauce, tworzą jednostki B+R:</w:t>
            </w:r>
          </w:p>
          <w:p w14:paraId="56726F80" w14:textId="21A2E040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1.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Uczelnie;</w:t>
            </w:r>
          </w:p>
          <w:p w14:paraId="7F2C73D6" w14:textId="0CE66C0F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2.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Federacje podmiotów systemu szkolnictwa wyższego i nauki, zwane dalej „federacjami”;</w:t>
            </w:r>
          </w:p>
          <w:p w14:paraId="6764DFFC" w14:textId="77777777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3.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Polska Akademia Nauk, działająca na podstawie ustawy z dnia 30 kwietnia 2010 r. o Polskiej Akademii Nauk (Dz. U. z 2020 r. poz. 1796), zwana dalej „PAN”;</w:t>
            </w:r>
          </w:p>
          <w:p w14:paraId="23F1C182" w14:textId="7CB7DA2B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4.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Instytuty naukowe PAN, działające na podstawie ustawy, o której mowa w pkt 3, zwane dalej „instytutami PAN”;</w:t>
            </w:r>
          </w:p>
          <w:p w14:paraId="0C994E7A" w14:textId="237999F4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5.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Instytuty badawcze, działające na podstawie ustawy z dnia 30 kwietnia 2010 r. o instytutach badawczych (Dz. U. z 2022 r. poz. 498);</w:t>
            </w:r>
          </w:p>
          <w:p w14:paraId="70646546" w14:textId="137A45B4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lastRenderedPageBreak/>
              <w:t>6.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Międzynarodowe instytuty naukowe utworzone na podstawie odrębnych ustaw działające na terytorium Rzeczypospolitej Polskiej, zwane dalej „instytutami międzynarodowymi”;</w:t>
            </w:r>
          </w:p>
          <w:p w14:paraId="568E2F28" w14:textId="77777777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647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6a. Centrum Łukasiewicz, działające na podstawie ustawy z dnia 21 lutego 2019 r. o Sieci Badawczej Łukasiewicz (Dz. U. z 2020 r. poz. 2098);</w:t>
            </w:r>
          </w:p>
          <w:p w14:paraId="27B3EDC5" w14:textId="19C7C91D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647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6b. Instytuty działające w ramach Sieci Badawczej Łukasiewicz, zwane dalej „instytutami Sieci Łukasiewicz”;</w:t>
            </w:r>
          </w:p>
          <w:p w14:paraId="3CB5690C" w14:textId="77777777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7.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Polska Akademia Umiejętności, zwana dalej „PAU”;</w:t>
            </w:r>
          </w:p>
          <w:p w14:paraId="168BB9F8" w14:textId="2C14B417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8.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ab/>
              <w:t>Inne podmioty prowadzące głównie działalność naukową w sposób samodzielny i ciągły*.</w:t>
            </w:r>
          </w:p>
          <w:p w14:paraId="45659C10" w14:textId="53C18EC6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*Jednocześnie w przypadku tych podmiotów konieczna jest ich zakończona pozytywna ewaluacja w oparciu o szczegółowe kryteria określone we właściwym rozporządzeniu Ministra Nauki i Szkolnictwa Wyższego lub w przypadku laboratoriów badawczych nadana przez PCA akredytacja.</w:t>
            </w:r>
          </w:p>
          <w:p w14:paraId="6620FCF5" w14:textId="22D2ADCD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 w:hanging="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Kryterium weryfikowane na podstawie zapisów wniosku o dofinansowanie i załączników i/lub wyjaśnień udzielonych przez Wnioskodawcę.</w:t>
            </w:r>
          </w:p>
          <w:p w14:paraId="0EA77092" w14:textId="1A953978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Oceniana jest również opinia wystawiona przez analogiczną zagraniczną jednostkę naukową.</w:t>
            </w:r>
          </w:p>
        </w:tc>
        <w:tc>
          <w:tcPr>
            <w:tcW w:w="1701" w:type="dxa"/>
            <w:vAlign w:val="center"/>
          </w:tcPr>
          <w:p w14:paraId="489637ED" w14:textId="1E87190A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rozstrzygające nr 1</w:t>
            </w:r>
          </w:p>
        </w:tc>
        <w:tc>
          <w:tcPr>
            <w:tcW w:w="1134" w:type="dxa"/>
            <w:vAlign w:val="center"/>
          </w:tcPr>
          <w:p w14:paraId="45EC635A" w14:textId="20E568A3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5" w:type="dxa"/>
            <w:vAlign w:val="center"/>
          </w:tcPr>
          <w:p w14:paraId="18AC4EE3" w14:textId="25F31B6A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0-2 pkt</w:t>
            </w:r>
          </w:p>
        </w:tc>
      </w:tr>
      <w:tr w:rsidR="0095700D" w:rsidRPr="00CC3269" w14:paraId="1F1DCE5F" w14:textId="7CECFE87" w:rsidTr="00BE0FBE">
        <w:tc>
          <w:tcPr>
            <w:tcW w:w="562" w:type="dxa"/>
            <w:noWrap/>
            <w:vAlign w:val="center"/>
          </w:tcPr>
          <w:p w14:paraId="713E7C85" w14:textId="15906579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lastRenderedPageBreak/>
              <w:t>3.</w:t>
            </w:r>
          </w:p>
        </w:tc>
        <w:tc>
          <w:tcPr>
            <w:tcW w:w="3119" w:type="dxa"/>
            <w:vAlign w:val="center"/>
          </w:tcPr>
          <w:p w14:paraId="053BF6A0" w14:textId="3A19CCCB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Miejsce realizacji projektu</w:t>
            </w:r>
          </w:p>
        </w:tc>
        <w:tc>
          <w:tcPr>
            <w:tcW w:w="8080" w:type="dxa"/>
            <w:vAlign w:val="center"/>
          </w:tcPr>
          <w:p w14:paraId="375FE480" w14:textId="77777777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 w:hanging="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W ramach kryterium będzie weryfikowane miejsce realizacji projektu:</w:t>
            </w:r>
          </w:p>
          <w:p w14:paraId="74CDC495" w14:textId="77777777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ind w:left="353" w:hanging="28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0 pkt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– pozostałe obszary;</w:t>
            </w:r>
          </w:p>
          <w:p w14:paraId="14FB9047" w14:textId="5A5934A6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1 pkt</w:t>
            </w: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– obszar na terenie subregionu południowego zidentyfikowany jako OSI krajowe (tj. miasta średnie tracące funkcje </w:t>
            </w:r>
            <w:proofErr w:type="spellStart"/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społeczno</w:t>
            </w:r>
            <w:proofErr w:type="spellEnd"/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- gospodarcze oraz obszary zagrożone trwałą marginalizacją) - zostały one wskazane w Krajowej Strategii Rozwoju Regionalnego 2030.</w:t>
            </w:r>
          </w:p>
          <w:p w14:paraId="687118C9" w14:textId="08BD2AEF" w:rsidR="0095700D" w:rsidRPr="007736BE" w:rsidRDefault="0095700D" w:rsidP="007736BE">
            <w:pPr>
              <w:autoSpaceDE w:val="0"/>
              <w:autoSpaceDN w:val="0"/>
              <w:adjustRightInd w:val="0"/>
              <w:spacing w:before="120" w:after="120"/>
              <w:ind w:left="8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Kryterium weryfikowane na podstawie zapisów wniosku o dofinansowanie załączników i/lub wyjaśnień udzielonych przez Wnioskodawcę.</w:t>
            </w:r>
          </w:p>
        </w:tc>
        <w:tc>
          <w:tcPr>
            <w:tcW w:w="1701" w:type="dxa"/>
            <w:vAlign w:val="center"/>
          </w:tcPr>
          <w:p w14:paraId="55D0CDDB" w14:textId="13BE6941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Kryterium premiujące</w:t>
            </w:r>
          </w:p>
        </w:tc>
        <w:tc>
          <w:tcPr>
            <w:tcW w:w="1134" w:type="dxa"/>
            <w:vAlign w:val="center"/>
          </w:tcPr>
          <w:p w14:paraId="4676278B" w14:textId="0AD8963E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3DD7E94C" w14:textId="64A4F023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0-1 pkt</w:t>
            </w:r>
          </w:p>
        </w:tc>
      </w:tr>
      <w:tr w:rsidR="0095700D" w:rsidRPr="00CC3269" w14:paraId="47CF2533" w14:textId="7405A552" w:rsidTr="00BE0FBE">
        <w:tc>
          <w:tcPr>
            <w:tcW w:w="562" w:type="dxa"/>
            <w:noWrap/>
            <w:vAlign w:val="center"/>
          </w:tcPr>
          <w:p w14:paraId="1FC1E83D" w14:textId="511F0D3A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119" w:type="dxa"/>
            <w:vAlign w:val="center"/>
          </w:tcPr>
          <w:p w14:paraId="6CF74014" w14:textId="2A300093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Wkład </w:t>
            </w:r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własny wyższy od minimalnego</w:t>
            </w:r>
          </w:p>
        </w:tc>
        <w:tc>
          <w:tcPr>
            <w:tcW w:w="8080" w:type="dxa"/>
          </w:tcPr>
          <w:p w14:paraId="646229E3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Wkład własny wyższy od minimalnego o:</w:t>
            </w:r>
          </w:p>
          <w:p w14:paraId="24EDD597" w14:textId="7575D689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≤5 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. - </w:t>
            </w: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0 pkt</w:t>
            </w:r>
          </w:p>
          <w:p w14:paraId="5327B974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&gt;5 ≤ 10 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. - </w:t>
            </w: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1 pkt</w:t>
            </w:r>
          </w:p>
          <w:p w14:paraId="36026870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&gt;10 ≤ 15 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. - </w:t>
            </w: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2 pkt</w:t>
            </w:r>
          </w:p>
          <w:p w14:paraId="156D6D9A" w14:textId="66F08906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&gt;15 - </w:t>
            </w: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pl-PL"/>
              </w:rPr>
              <w:t>3 pkt</w:t>
            </w:r>
          </w:p>
          <w:p w14:paraId="3762D163" w14:textId="77777777" w:rsidR="0095700D" w:rsidRPr="007736BE" w:rsidRDefault="0095700D" w:rsidP="00DF15F9">
            <w:pPr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 – punkt procentowy</w:t>
            </w:r>
          </w:p>
          <w:p w14:paraId="6507A08C" w14:textId="77777777" w:rsidR="0095700D" w:rsidRPr="007736BE" w:rsidRDefault="0095700D" w:rsidP="00DF15F9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701" w:type="dxa"/>
            <w:vAlign w:val="center"/>
          </w:tcPr>
          <w:p w14:paraId="70A7160A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Kryterium rozstrzygające nr 2</w:t>
            </w:r>
          </w:p>
        </w:tc>
        <w:tc>
          <w:tcPr>
            <w:tcW w:w="1134" w:type="dxa"/>
            <w:vAlign w:val="center"/>
          </w:tcPr>
          <w:p w14:paraId="55056F26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4C85E5D6" w14:textId="0ECF74B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0-3 pkt</w:t>
            </w:r>
          </w:p>
        </w:tc>
      </w:tr>
      <w:tr w:rsidR="0095700D" w:rsidRPr="00CC3269" w14:paraId="42E1FB5F" w14:textId="11DF9AF4" w:rsidTr="00BE0FBE">
        <w:tc>
          <w:tcPr>
            <w:tcW w:w="562" w:type="dxa"/>
            <w:noWrap/>
            <w:vAlign w:val="center"/>
          </w:tcPr>
          <w:p w14:paraId="70D2E2ED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lastRenderedPageBreak/>
              <w:t>3.</w:t>
            </w:r>
          </w:p>
        </w:tc>
        <w:tc>
          <w:tcPr>
            <w:tcW w:w="3119" w:type="dxa"/>
            <w:vAlign w:val="center"/>
          </w:tcPr>
          <w:p w14:paraId="65589049" w14:textId="11B3A1E1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Projekt przyczynia się do działań ograniczających presje na środowisko</w:t>
            </w:r>
          </w:p>
        </w:tc>
        <w:tc>
          <w:tcPr>
            <w:tcW w:w="8080" w:type="dxa"/>
            <w:vAlign w:val="center"/>
          </w:tcPr>
          <w:p w14:paraId="2B12737C" w14:textId="04C60B1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W ramach kryterium weryfikacji podlega, czy projekt przyczynia się do działań ograniczających presje na środowisko.</w:t>
            </w:r>
          </w:p>
          <w:p w14:paraId="7DE52373" w14:textId="06BC66F2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projekt nie przyczynia się do działań ograniczających presje na środowisko.</w:t>
            </w:r>
          </w:p>
          <w:p w14:paraId="5A8DF6F3" w14:textId="0355B36F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- projekt przyczynia się min. do jednego z nw. działań ograniczających presje na środowisko.</w:t>
            </w:r>
          </w:p>
          <w:p w14:paraId="1347B201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Działania przyczyniające się do ograniczenia presji na środowisko to:</w:t>
            </w:r>
          </w:p>
          <w:p w14:paraId="40848F27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ind w:left="222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• zastosowanie rozwiązań z zakresu gospodarki obiegu zamkniętego (GOZ) zmniejszające ilość odpadów i zwiększające ich segregację oraz recykling,</w:t>
            </w:r>
          </w:p>
          <w:p w14:paraId="3874AD40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ind w:left="222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• zastosowanie odnawialnych źródeł energii do pozyskiwania energii elektrycznej lub energii cieplnej niezbędnej do prowadzenia działalności przez Wnioskodawcę,</w:t>
            </w:r>
          </w:p>
          <w:p w14:paraId="6F27412C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ind w:left="222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• zmniejszenie energochłonności prowadzonej działalności przez Wnioskodawcę w stosunku do stanu przed realizacją projektu,</w:t>
            </w:r>
          </w:p>
          <w:p w14:paraId="4FFC156B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ind w:left="222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• zmniejszenie emisji zanieczyszczeń́ do atmosfery w wyniku prowadzonej działalności przemysłowej lub usługowej w stosunku do stanu przed realizacją projektu,</w:t>
            </w:r>
          </w:p>
          <w:p w14:paraId="14CE7B05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ind w:left="222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• poprawa efektywności energetycznej budynków / budowli niezbędnych do realizacji działalności przez Wnioskodawcę,</w:t>
            </w:r>
          </w:p>
          <w:p w14:paraId="50523DCA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ind w:left="222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• uzyskanie dla produktów przedsiębiorstwa deklaracji środowiskowych produktu (EDP).</w:t>
            </w:r>
          </w:p>
          <w:p w14:paraId="074A2ECA" w14:textId="1FA6ED72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701" w:type="dxa"/>
            <w:vAlign w:val="center"/>
          </w:tcPr>
          <w:p w14:paraId="43F1B0E2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134" w:type="dxa"/>
            <w:vAlign w:val="center"/>
          </w:tcPr>
          <w:p w14:paraId="2A1B9C1B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00406EA9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0 - 2 pkt</w:t>
            </w:r>
          </w:p>
        </w:tc>
      </w:tr>
      <w:tr w:rsidR="0095700D" w:rsidRPr="00CC3269" w14:paraId="3B455706" w14:textId="4F930B98" w:rsidTr="00BE0FBE">
        <w:tc>
          <w:tcPr>
            <w:tcW w:w="562" w:type="dxa"/>
            <w:noWrap/>
            <w:vAlign w:val="center"/>
          </w:tcPr>
          <w:p w14:paraId="7E134A51" w14:textId="1B2C7CDC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119" w:type="dxa"/>
            <w:vAlign w:val="center"/>
          </w:tcPr>
          <w:p w14:paraId="45170F4B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Wpływ projektu na rozwój gospodarczy regionu</w:t>
            </w:r>
          </w:p>
        </w:tc>
        <w:tc>
          <w:tcPr>
            <w:tcW w:w="8080" w:type="dxa"/>
            <w:vAlign w:val="center"/>
          </w:tcPr>
          <w:p w14:paraId="20B2927B" w14:textId="6595D908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W ramach kryterium ocenie podlega wpływ projektu na rozwój gospodarczy województwa opolskiego jako obszaru objętego FEO, poprzez zwiększanie bazy podatkowej. </w:t>
            </w:r>
          </w:p>
          <w:p w14:paraId="7DAA312D" w14:textId="5EC9B8C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Ocena w ramach kryterium jest dokonywana z uwzględnieniem miejscowej właściwości organów podatkowych dla właściwego w przypadku Wnioskodawcy podatku dochodowego, ustalonej zgodnie z art. 17 ustawy z dnia 29 sierpnia 1997 r. Ordynacja podatkowa.</w:t>
            </w:r>
          </w:p>
          <w:p w14:paraId="052D89E8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Punkty w ramach kryterium przyznawane są w następujący sposób: </w:t>
            </w:r>
          </w:p>
          <w:p w14:paraId="3F1034D1" w14:textId="3373C993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w przypadku, gdy dla Wnioskodawcy w zakresie podatku dochodowego właściwy miejscowo jest organ podatkowy spoza terenu województwa opolskiego. </w:t>
            </w:r>
          </w:p>
          <w:p w14:paraId="6BC6FDDB" w14:textId="2DB3F205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w przypadku, gdy dla Wnioskodawcy w zakresie podatku dochodowego właściwy miejscowo jest organ podatkowy z terenu województwa opolskiego. </w:t>
            </w:r>
          </w:p>
          <w:p w14:paraId="4C05A2C9" w14:textId="41483995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weryfikowane na podstawie zapisów wniosku o dofinansowanie i załączników oraz dokumentów rejestrowych przedsiębiorstwa i/lub wyjaśnień udzielonych przez Wnioskodawcę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F42C5F9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134" w:type="dxa"/>
            <w:vAlign w:val="center"/>
          </w:tcPr>
          <w:p w14:paraId="0FB1A9D7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2DCD626A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 lub 2 pkt</w:t>
            </w:r>
          </w:p>
        </w:tc>
      </w:tr>
      <w:tr w:rsidR="0095700D" w:rsidRPr="00CC3269" w14:paraId="49614C0E" w14:textId="0272EEDB" w:rsidTr="00BE0FBE">
        <w:tc>
          <w:tcPr>
            <w:tcW w:w="562" w:type="dxa"/>
            <w:noWrap/>
            <w:vAlign w:val="center"/>
          </w:tcPr>
          <w:p w14:paraId="5E70829C" w14:textId="2A53F88F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 xml:space="preserve">5. </w:t>
            </w:r>
          </w:p>
        </w:tc>
        <w:tc>
          <w:tcPr>
            <w:tcW w:w="3119" w:type="dxa"/>
            <w:vAlign w:val="center"/>
          </w:tcPr>
          <w:p w14:paraId="1D4F8393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Realizacja projektu przyczyni się do zwiększenia w przedsiębiorstwie automatyzacji i/lub cyfryzacji</w:t>
            </w:r>
          </w:p>
        </w:tc>
        <w:tc>
          <w:tcPr>
            <w:tcW w:w="8080" w:type="dxa"/>
            <w:vAlign w:val="center"/>
          </w:tcPr>
          <w:p w14:paraId="0E775D45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W ramach kryterium weryfikacji podlega, czy realizacja projektu przyczyni się do zwiększenia w przedsiębiorstwie automatyzacji i/lub cyfryzacji.</w:t>
            </w:r>
          </w:p>
          <w:p w14:paraId="1441E2C1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- realizacja projektu nie przyczyni się do zwiększenia w przedsiębiorstwie automatyzacji i/lub cyfryzacji</w:t>
            </w:r>
          </w:p>
          <w:p w14:paraId="3EA4D2EA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realizacja projektu przyczyni się do zwiększenia w przedsiębiorstwie automatyzacji i/lub cyfryzacji</w:t>
            </w:r>
          </w:p>
          <w:p w14:paraId="543C3BD0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Automatyzacja oznacza stosowanie urządzeń do zbierania i przetwarzania informacji, przejmujących pewne działania poznawcze, intelektualne i decyzyjne człowieka, wykonywane dotąd przez niego w trakcie użytkowania obiektu lub w trakcie prac twórczych (np. projektowania, konstruowania, uczenia). Automatyzacja może dotyczyć zarówno procesu produkcyjnego, jak i automatyzacji procesów biznesowych. Automatyzacja produkcji jest wykorzystaniem potencjału maszyn w trakcie procesów wytwórczych i wdrożenie odpowiednio wybranych rozwiązań na danej linii produkcyjnej. Automatyzacja i robotyzacja procesów produkcyjnych zmniejsza udział człowieka, jednocześnie zwiększając wydajność działań. Automatyzacja procesów biznesowych to 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wykorzystanie systemów informatycznych do zastąpienia i zarządzania bieżącymi, ręcznymi procesami w działalności przedsiębiorstwa. </w:t>
            </w:r>
          </w:p>
          <w:p w14:paraId="25CF8E7A" w14:textId="0C529B75" w:rsidR="0095700D" w:rsidRPr="007736BE" w:rsidRDefault="0095700D" w:rsidP="00DF15F9">
            <w:pPr>
              <w:spacing w:after="120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Premiowane będą również rozwiązania z zakresu inteligentnej automatyzacji, tj. połączenia automatyzacji ze sztuczną inteligencją (AI), które polegają na wykorzystywaniu </w:t>
            </w:r>
            <w:r w:rsidRPr="007736BE">
              <w:rPr>
                <w:rFonts w:asciiTheme="minorHAnsi" w:hAnsiTheme="minorHAnsi" w:cstheme="minorHAnsi"/>
                <w:color w:val="202124"/>
                <w:sz w:val="24"/>
                <w:szCs w:val="24"/>
              </w:rPr>
              <w:t xml:space="preserve">zaawansowanych algorytmów, dzięki czemu umożliwiają systemom podejmowanie autonomicznych decyzji, zwiększając efektywność poprzez zmniejszenie potrzeby interwencji człowieka, jak 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np. wirtualni asystenci i 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chatboty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, automatyzacja i optymalizacja w sprzedaży, zaawansowana analiza danych przez całą dobę, itp.</w:t>
            </w:r>
          </w:p>
          <w:p w14:paraId="2699B816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Cyfryzacja oznacza proces polegający na stopniowym wprowadzania technologii cyfrowej do otaczającego środowiska. Za cyfryzację uważa się rozpowszechnianie, popularyzowanie i wprowadzanie szeroko pojętej infrastruktury elektronicznej. Transformacja cyfrowa w przedsiębiorstwie to wykorzystanie technologii w celu przekształcenia procesów analogowych w cyfrowe.</w:t>
            </w:r>
          </w:p>
          <w:p w14:paraId="7237EEB1" w14:textId="77777777" w:rsidR="0095700D" w:rsidRPr="007736BE" w:rsidRDefault="0095700D" w:rsidP="00DF15F9">
            <w:pPr>
              <w:tabs>
                <w:tab w:val="left" w:pos="297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701" w:type="dxa"/>
            <w:vAlign w:val="center"/>
          </w:tcPr>
          <w:p w14:paraId="66CD002C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134" w:type="dxa"/>
            <w:vAlign w:val="center"/>
          </w:tcPr>
          <w:p w14:paraId="618C8C32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67EB4FCD" w14:textId="7777777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 lub 2 pkt</w:t>
            </w:r>
          </w:p>
        </w:tc>
      </w:tr>
      <w:tr w:rsidR="0095700D" w:rsidRPr="00CC3269" w14:paraId="2453669D" w14:textId="118819A2" w:rsidTr="00BE0FBE">
        <w:tc>
          <w:tcPr>
            <w:tcW w:w="562" w:type="dxa"/>
            <w:noWrap/>
            <w:vAlign w:val="center"/>
          </w:tcPr>
          <w:p w14:paraId="043154AB" w14:textId="5E183879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119" w:type="dxa"/>
            <w:vAlign w:val="center"/>
          </w:tcPr>
          <w:p w14:paraId="7389E621" w14:textId="63A70E54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highlight w:val="gree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Miejsca pracy dla naukowców utworzone w wyniku realizacji projektu</w:t>
            </w:r>
          </w:p>
        </w:tc>
        <w:tc>
          <w:tcPr>
            <w:tcW w:w="8080" w:type="dxa"/>
            <w:vAlign w:val="center"/>
          </w:tcPr>
          <w:p w14:paraId="1A7A3DD3" w14:textId="438F2B81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Projekt zakłada, że w wyniku jego realizacji utworzone będą miejsca pracy dla naukowców:</w:t>
            </w:r>
          </w:p>
          <w:p w14:paraId="5EA295E0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Projekt nie zakłada utworzenia miejsc pracy dla naukowców;</w:t>
            </w:r>
          </w:p>
          <w:p w14:paraId="1E5CA47E" w14:textId="259096AC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1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Utworzone będzie co najmniej jedno miejsce pracy dla naukowca będące rezultatem projektu;</w:t>
            </w:r>
          </w:p>
          <w:p w14:paraId="0D717260" w14:textId="679BE9F2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Utworzone będą co najmniej dwa miejsca pracy dla naukowca będące rezultatem projektu;</w:t>
            </w:r>
          </w:p>
          <w:p w14:paraId="543D7C27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Kryterium oceniane na podstawie wskaźnika: Miejsca pracy dla naukowców utworzonych we wspieranych jednostkach. </w:t>
            </w:r>
          </w:p>
          <w:p w14:paraId="479F9BA9" w14:textId="668546EB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Wskaźnik jest mierzony pod względem średnich rocznych ekwiwalentów pełnego czasu pracy (EPC) obliczanych zgodnie z metodyką podaną w Podręczniku Frascati OECD 2015. Nie wlicza się wolnych stanowisk w działalności badawczo-rozwojowej, podobnie jak personelu pomocniczego w działalności badawczo-rozwojowej (tj. stanowisk niezwiązanych bezpośrednio z tą działalnością). Roczne EPC personelu naukowego definiuje się jako stosunek godzin pracy faktycznie poświęconych na badania i rozwój w ciągu roku kalendarzowego podzielony przez całkowitą liczbę godzin umownie przepracowanych w tym samym okresie przez osobę lub grupę. Zgodnie z konwencją dana osoba nie może wykonywać więcej niż jednego EPC w zakresie badań i rozwoju rocznie. Liczba godzin umownie przepracowanych ustalana jest na podstawie normatywnych/ustawowych godzin pracy.   Osoba pracująca w pełnym wymiarze czasu pracy zostanie zidentyfikowana w odniesieniu do jej statusu zatrudnienia, rodzaju umowy (pełny lub niepełny etat) oraz poziomu zaangażowania w 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działalność badawczą i rozwojową (Podręcznik Frascati OECD w odniesieniach, rozdział 5.3).</w:t>
            </w:r>
          </w:p>
          <w:p w14:paraId="464BAB7C" w14:textId="6684CB14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Przesunięcie pracowników dotychczas zatrudnionych w ramach etatów badawczych lub niebadawczych, nie będzie kwalifikowane jako utworzenie nowych etatów badawczych. Likwidacja istniejących etatów i ponowne zatrudnienie również nie będzie kwalifikowane jako utworzenie nowych etatów. Zadeklarowanie przez Wnioskodawcę określonej liczby etatów będzie równoznaczne ze zobowiązaniem do jej monitorowania i utrzymania w okresie trwałości projektu.</w:t>
            </w:r>
          </w:p>
          <w:p w14:paraId="4EC99D80" w14:textId="4AE339EE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1701" w:type="dxa"/>
            <w:vAlign w:val="center"/>
          </w:tcPr>
          <w:p w14:paraId="27AC0427" w14:textId="5CA0E3D7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134" w:type="dxa"/>
            <w:vAlign w:val="center"/>
          </w:tcPr>
          <w:p w14:paraId="0D281F0B" w14:textId="2351868D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573B986D" w14:textId="7860E012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0-2 pkt</w:t>
            </w:r>
          </w:p>
        </w:tc>
      </w:tr>
      <w:tr w:rsidR="0095700D" w:rsidRPr="00CC3269" w14:paraId="64E9EF62" w14:textId="596AE165" w:rsidTr="00BE0FBE">
        <w:tc>
          <w:tcPr>
            <w:tcW w:w="562" w:type="dxa"/>
            <w:noWrap/>
            <w:vAlign w:val="center"/>
          </w:tcPr>
          <w:p w14:paraId="44BDEC0A" w14:textId="06C0991B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lastRenderedPageBreak/>
              <w:t xml:space="preserve">7. </w:t>
            </w:r>
          </w:p>
        </w:tc>
        <w:tc>
          <w:tcPr>
            <w:tcW w:w="3119" w:type="dxa"/>
            <w:vAlign w:val="center"/>
          </w:tcPr>
          <w:p w14:paraId="4515121A" w14:textId="49CC1253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  <w:highlight w:val="gree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Doświadczenie we współpracy z sektorem B+R lub posiadanie własnej jednostki B+R</w:t>
            </w:r>
          </w:p>
        </w:tc>
        <w:tc>
          <w:tcPr>
            <w:tcW w:w="8080" w:type="dxa"/>
            <w:vAlign w:val="center"/>
          </w:tcPr>
          <w:p w14:paraId="4919B737" w14:textId="6E3358E0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– brak współpracy/ brak własnej jednostki B+R;</w:t>
            </w:r>
          </w:p>
          <w:p w14:paraId="7A96A64C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- współpraca trwa krócej niż 6 m-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cy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/ własna jednostka B+R funkcjonuje krócej niż 6 miesięcy;</w:t>
            </w:r>
          </w:p>
          <w:p w14:paraId="0076B257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- współpraca trwa co najmniej 6 m-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cy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, ale krócej niż 1 rok/ własna jednostka B+R funkcjonuje co najmniej 6 m-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cy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, ale krócej niż 1 rok;</w:t>
            </w:r>
          </w:p>
          <w:p w14:paraId="64A4697A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- współpraca trwa co najmniej 1 rok, ale krócej niż 2 lata/ własna jednostka B+R funkcjonuje co najmniej 1 rok, ale krócej niż 2 lata;</w:t>
            </w:r>
          </w:p>
          <w:p w14:paraId="126F5E2B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4 pkt</w:t>
            </w: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 - współpraca trwa co najmniej 2 lata/ własna jednostka B+R funkcjonuje co najmniej 2 lata.</w:t>
            </w:r>
          </w:p>
          <w:p w14:paraId="557C4554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Długość współpracy i funkcjonowania własnej jednostki B+R oceniana jest na moment złożenia wniosku.</w:t>
            </w:r>
          </w:p>
          <w:p w14:paraId="1B7C79B7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Współpraca Wnioskodawcy z sektorem B+R potwierdzona jest dokumentami np. umowa, zlecenie badań, wyniki badań, inne opracowania i dokumenty potwierdzające współpracę.</w:t>
            </w:r>
          </w:p>
          <w:p w14:paraId="2FED1B7A" w14:textId="0F6FA898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Przedłożenie jedynie umowy podpisanej pomiędzy wnioskodawcą a jednostką B+R nie stanowi o współpracy i nie jest podstawą do nadania punktów w przedmiotowym kryterium.</w:t>
            </w:r>
          </w:p>
          <w:p w14:paraId="3643E5B2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System szkolnictwa wyższego i nauki zgodnie z Ustawą Prawo o szkolnictwie wyższym i nauce, tworzą jednostki sektora B+R:</w:t>
            </w:r>
          </w:p>
          <w:p w14:paraId="65CFB75A" w14:textId="75A0DE18" w:rsidR="0095700D" w:rsidRPr="007736BE" w:rsidRDefault="0095700D" w:rsidP="00DF15F9">
            <w:pPr>
              <w:spacing w:before="120" w:after="120"/>
              <w:ind w:left="364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1. Uczelnie;</w:t>
            </w:r>
          </w:p>
          <w:p w14:paraId="6CB9E1CB" w14:textId="3444D19B" w:rsidR="0095700D" w:rsidRPr="007736BE" w:rsidRDefault="0095700D" w:rsidP="00DF15F9">
            <w:pPr>
              <w:spacing w:before="120" w:after="120"/>
              <w:ind w:left="364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2. Federacje podmiotów systemu szkolnictwa wyższego i nauki, zwane dalej „federacjami”;</w:t>
            </w:r>
          </w:p>
          <w:p w14:paraId="32180A61" w14:textId="20468587" w:rsidR="0095700D" w:rsidRPr="007736BE" w:rsidRDefault="0095700D" w:rsidP="00DF15F9">
            <w:pPr>
              <w:spacing w:before="120" w:after="120"/>
              <w:ind w:left="364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3. Polska Akademia Nauk, działająca na podstawie ustawy z dnia 30 kwietnia 2010 r. o Polskiej Akademii Nauk; zwana dalej „PAN”;</w:t>
            </w:r>
          </w:p>
          <w:p w14:paraId="5F52F8CA" w14:textId="78ACBB35" w:rsidR="0095700D" w:rsidRPr="007736BE" w:rsidRDefault="0095700D" w:rsidP="00DF15F9">
            <w:pPr>
              <w:spacing w:before="120" w:after="120"/>
              <w:ind w:left="364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4. Instytuty naukowe PAN, działające na podstawie ustawy, o której mowa w pkt 3, zwane dalej „instytutami PAN”;</w:t>
            </w:r>
          </w:p>
          <w:p w14:paraId="0D1F3726" w14:textId="54D0C189" w:rsidR="0095700D" w:rsidRPr="007736BE" w:rsidRDefault="0095700D" w:rsidP="00DF15F9">
            <w:pPr>
              <w:spacing w:before="120" w:after="120"/>
              <w:ind w:left="364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5. Instytuty badawcze, działające na podstawie ustawy z dnia 30 kwietnia 2010 r. o instytutach badawczych;</w:t>
            </w:r>
          </w:p>
          <w:p w14:paraId="01937783" w14:textId="634DFD08" w:rsidR="0095700D" w:rsidRPr="007736BE" w:rsidRDefault="0095700D" w:rsidP="00DF15F9">
            <w:pPr>
              <w:spacing w:before="120" w:after="120"/>
              <w:ind w:left="364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6. Międzynarodowe instytuty naukowe utworzone na podstawie odrębnych ustaw działające na terytorium Rzeczypospolitej Polskiej, zwane dalej „instytutami międzynarodowymi”;</w:t>
            </w:r>
          </w:p>
          <w:p w14:paraId="115C93BE" w14:textId="5198BE52" w:rsidR="0095700D" w:rsidRPr="007736BE" w:rsidRDefault="0095700D" w:rsidP="00DF15F9">
            <w:pPr>
              <w:spacing w:before="120" w:after="120"/>
              <w:ind w:left="364" w:hanging="14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6a. Centrum Łukasiewicz, działające na podstawie ustawy z dnia 21 lutego 2019 r. o Sieci Badawczej Łukasiewicz;</w:t>
            </w:r>
          </w:p>
          <w:p w14:paraId="279C8783" w14:textId="77777777" w:rsidR="0095700D" w:rsidRPr="007736BE" w:rsidRDefault="0095700D" w:rsidP="00DF15F9">
            <w:pPr>
              <w:spacing w:before="120" w:after="120"/>
              <w:ind w:left="22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6b. instytuty działające w ramach Sieci Badawczej Łukasiewicz, zwane dalej „instytutami Sieci Łukasiewicz”;</w:t>
            </w:r>
          </w:p>
          <w:p w14:paraId="3B07875E" w14:textId="52541FF0" w:rsidR="0095700D" w:rsidRPr="007736BE" w:rsidRDefault="0095700D" w:rsidP="00DF15F9">
            <w:pPr>
              <w:spacing w:before="120" w:after="120"/>
              <w:ind w:left="22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7. Polska Akademia Umiejętności, zwana dalej „PAU”;</w:t>
            </w:r>
          </w:p>
          <w:p w14:paraId="2AE0EA05" w14:textId="32E2082C" w:rsidR="0095700D" w:rsidRPr="007736BE" w:rsidRDefault="0095700D" w:rsidP="00DF15F9">
            <w:pPr>
              <w:spacing w:before="120" w:after="120"/>
              <w:ind w:left="222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8. Inne podmioty prowadzące głównie działalność naukową w sposób samodzielny i ciągły*.</w:t>
            </w:r>
          </w:p>
          <w:p w14:paraId="117E7AEA" w14:textId="1C9810C3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*Jednocześnie w przypadku tych podmiotów konieczna jest ich zakończona pozytywna ewaluacja w oparciu o szczegółowe kryteria określone we właściwym rozporządzeniu Ministra Nauki i Szkolnictwa Wyższego lub w przypadku laboratoriów badawczych nadana przez PCA akredytacja.</w:t>
            </w:r>
          </w:p>
          <w:p w14:paraId="3C3E2638" w14:textId="77777777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Własna jednostka B+R rozumiana jest jako dział badawczo-rozwojowy, laboratorium badawcze, dział technologiczno-konstrukcyjny lub pracownicy, stanowiący kadrę przedsiębiorstwa i prowadzący w jego ramach prace B+R. </w:t>
            </w:r>
          </w:p>
          <w:p w14:paraId="21749D46" w14:textId="2460406D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Ocena kryterium w odniesieniu do własnej jednostki B+R opierać się będzie na przedłożonych dokumentach, z których wynikać będzie doświadczenie w zakresie realizacji projektów badawczych. Powyższe będzie udokumentowane m.in. poprzez dokumenty CV personelu, zakresy czynności pracowników, dokumenty potwierdzające realizacje prac B+R (m.in. opracowania, ekspertyzy, publikacje, wyniki badań i dokumentacja dotycząca nowych lub ulepszonych produktów/procesów/usług), ewidencję prac B+R, ewidencję </w:t>
            </w:r>
            <w:proofErr w:type="spellStart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WNiP</w:t>
            </w:r>
            <w:proofErr w:type="spellEnd"/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, sprawozdania GUS, PNT-01, sprawozdania finansowe, zgłoszenia patentowe i/lub uzyskane patenty, wzory przemysłowe i użytkowe.</w:t>
            </w:r>
          </w:p>
          <w:p w14:paraId="43E6C8D0" w14:textId="4590ACF6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Z załączonych dokumentów powinien wynikać okres i zakres prowadzonych prac B+R w przedsiębiorstwie.</w:t>
            </w:r>
          </w:p>
          <w:p w14:paraId="1D313E57" w14:textId="2505F40D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>Oceniana jest współpraca z polską lub analogiczną zagraniczną jednostką naukową.</w:t>
            </w:r>
          </w:p>
          <w:p w14:paraId="54643A73" w14:textId="2BB0D692" w:rsidR="0095700D" w:rsidRPr="007736BE" w:rsidRDefault="0095700D" w:rsidP="00DF15F9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t xml:space="preserve">Kryterium weryfikowane na podstawie zapisów wniosku o dofinansowanie i załączników i/lub wyjaśnień udzielonych przez Wnioskodawcę. </w:t>
            </w:r>
          </w:p>
        </w:tc>
        <w:tc>
          <w:tcPr>
            <w:tcW w:w="1701" w:type="dxa"/>
            <w:vAlign w:val="center"/>
          </w:tcPr>
          <w:p w14:paraId="242320CD" w14:textId="7DE6B503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Kryterium premiujące</w:t>
            </w:r>
          </w:p>
        </w:tc>
        <w:tc>
          <w:tcPr>
            <w:tcW w:w="1134" w:type="dxa"/>
            <w:vAlign w:val="center"/>
          </w:tcPr>
          <w:p w14:paraId="72AE15D6" w14:textId="6AB612C5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vAlign w:val="center"/>
          </w:tcPr>
          <w:p w14:paraId="1B88A9E1" w14:textId="07513D30" w:rsidR="0095700D" w:rsidRPr="007736BE" w:rsidRDefault="0095700D" w:rsidP="00DF15F9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7736BE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0-4 pkt</w:t>
            </w:r>
          </w:p>
        </w:tc>
      </w:tr>
    </w:tbl>
    <w:p w14:paraId="5DCAEA07" w14:textId="77777777" w:rsidR="003F33C9" w:rsidRDefault="003F33C9" w:rsidP="00CD3CE7">
      <w:pPr>
        <w:widowControl w:val="0"/>
        <w:rPr>
          <w:b/>
          <w:snapToGrid w:val="0"/>
          <w:u w:val="single"/>
        </w:rPr>
      </w:pPr>
    </w:p>
    <w:p w14:paraId="1FD30773" w14:textId="177A5E20" w:rsidR="00105615" w:rsidRDefault="00105615" w:rsidP="00D11E95">
      <w:pPr>
        <w:widowControl w:val="0"/>
      </w:pPr>
    </w:p>
    <w:sectPr w:rsidR="00105615" w:rsidSect="00D72D55">
      <w:footerReference w:type="default" r:id="rId9"/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5E59B" w14:textId="77777777" w:rsidR="00FC553F" w:rsidRDefault="00FC553F" w:rsidP="001A07DF">
      <w:pPr>
        <w:spacing w:after="0" w:line="240" w:lineRule="auto"/>
      </w:pPr>
      <w:r>
        <w:separator/>
      </w:r>
    </w:p>
  </w:endnote>
  <w:endnote w:type="continuationSeparator" w:id="0">
    <w:p w14:paraId="0C408F83" w14:textId="77777777" w:rsidR="00FC553F" w:rsidRDefault="00FC553F" w:rsidP="001A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322853"/>
      <w:docPartObj>
        <w:docPartGallery w:val="Page Numbers (Bottom of Page)"/>
        <w:docPartUnique/>
      </w:docPartObj>
    </w:sdtPr>
    <w:sdtEndPr/>
    <w:sdtContent>
      <w:p w14:paraId="77D0EA17" w14:textId="77777777" w:rsidR="004E687B" w:rsidRDefault="004E68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09A">
          <w:rPr>
            <w:noProof/>
          </w:rPr>
          <w:t>58</w:t>
        </w:r>
        <w:r>
          <w:fldChar w:fldCharType="end"/>
        </w:r>
      </w:p>
    </w:sdtContent>
  </w:sdt>
  <w:p w14:paraId="24B17AEE" w14:textId="77777777" w:rsidR="004E687B" w:rsidRDefault="004E6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6385F" w14:textId="77777777" w:rsidR="00FC553F" w:rsidRDefault="00FC553F" w:rsidP="001A07DF">
      <w:pPr>
        <w:spacing w:after="0" w:line="240" w:lineRule="auto"/>
      </w:pPr>
      <w:r>
        <w:separator/>
      </w:r>
    </w:p>
  </w:footnote>
  <w:footnote w:type="continuationSeparator" w:id="0">
    <w:p w14:paraId="6E05A198" w14:textId="77777777" w:rsidR="00FC553F" w:rsidRDefault="00FC553F" w:rsidP="001A07DF">
      <w:pPr>
        <w:spacing w:after="0" w:line="240" w:lineRule="auto"/>
      </w:pPr>
      <w:r>
        <w:continuationSeparator/>
      </w:r>
    </w:p>
  </w:footnote>
  <w:footnote w:id="1">
    <w:p w14:paraId="6FCB8030" w14:textId="385E0C39" w:rsidR="0095700D" w:rsidRPr="00D11E95" w:rsidRDefault="0095700D">
      <w:pPr>
        <w:pStyle w:val="Tekstprzypisudolnego"/>
        <w:rPr>
          <w:sz w:val="24"/>
          <w:szCs w:val="24"/>
        </w:rPr>
      </w:pPr>
      <w:r w:rsidRPr="00D11E95">
        <w:rPr>
          <w:rStyle w:val="Odwoanieprzypisudolnego"/>
          <w:sz w:val="24"/>
          <w:szCs w:val="24"/>
        </w:rPr>
        <w:footnoteRef/>
      </w:r>
      <w:r w:rsidRPr="00D11E95">
        <w:rPr>
          <w:sz w:val="24"/>
          <w:szCs w:val="24"/>
        </w:rPr>
        <w:t xml:space="preserve"> Jednostka naukowa – podmiot, o którym mowa w art.7 ust.1 pkt 1,2 i 4-7 ustawy Prawo o szkolnictwie wyższym i nauce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1FF1"/>
    <w:multiLevelType w:val="hybridMultilevel"/>
    <w:tmpl w:val="F77860AA"/>
    <w:lvl w:ilvl="0" w:tplc="C0F8602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E65D5"/>
    <w:multiLevelType w:val="hybridMultilevel"/>
    <w:tmpl w:val="B352C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57E5"/>
    <w:multiLevelType w:val="hybridMultilevel"/>
    <w:tmpl w:val="8FB4734E"/>
    <w:lvl w:ilvl="0" w:tplc="DCBA8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E1104"/>
    <w:multiLevelType w:val="hybridMultilevel"/>
    <w:tmpl w:val="06EE17BA"/>
    <w:lvl w:ilvl="0" w:tplc="0D502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C32C5F"/>
    <w:multiLevelType w:val="hybridMultilevel"/>
    <w:tmpl w:val="975E59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F05BB5"/>
    <w:multiLevelType w:val="hybridMultilevel"/>
    <w:tmpl w:val="0C323F2E"/>
    <w:lvl w:ilvl="0" w:tplc="53CE66E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320C0"/>
    <w:multiLevelType w:val="hybridMultilevel"/>
    <w:tmpl w:val="559E17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DA2FFC"/>
    <w:multiLevelType w:val="hybridMultilevel"/>
    <w:tmpl w:val="5E242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1545B"/>
    <w:multiLevelType w:val="hybridMultilevel"/>
    <w:tmpl w:val="C1E06730"/>
    <w:lvl w:ilvl="0" w:tplc="04150017">
      <w:start w:val="1"/>
      <w:numFmt w:val="lowerLetter"/>
      <w:lvlText w:val="%1)"/>
      <w:lvlJc w:val="left"/>
      <w:pPr>
        <w:ind w:left="1102" w:hanging="360"/>
      </w:p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9" w15:restartNumberingAfterBreak="0">
    <w:nsid w:val="0ECA0F11"/>
    <w:multiLevelType w:val="hybridMultilevel"/>
    <w:tmpl w:val="B3CC2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4178F"/>
    <w:multiLevelType w:val="hybridMultilevel"/>
    <w:tmpl w:val="0460597C"/>
    <w:lvl w:ilvl="0" w:tplc="B2447EFE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11F460F4"/>
    <w:multiLevelType w:val="hybridMultilevel"/>
    <w:tmpl w:val="953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06C73"/>
    <w:multiLevelType w:val="hybridMultilevel"/>
    <w:tmpl w:val="CAB07034"/>
    <w:lvl w:ilvl="0" w:tplc="5EBE0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FE1804"/>
    <w:multiLevelType w:val="hybridMultilevel"/>
    <w:tmpl w:val="EB34E7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6A31DD4"/>
    <w:multiLevelType w:val="hybridMultilevel"/>
    <w:tmpl w:val="004A5640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83259"/>
    <w:multiLevelType w:val="hybridMultilevel"/>
    <w:tmpl w:val="BC2EEA6C"/>
    <w:lvl w:ilvl="0" w:tplc="4B380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A386B"/>
    <w:multiLevelType w:val="hybridMultilevel"/>
    <w:tmpl w:val="1D16223C"/>
    <w:lvl w:ilvl="0" w:tplc="6A0A5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225D7"/>
    <w:multiLevelType w:val="hybridMultilevel"/>
    <w:tmpl w:val="E34218DC"/>
    <w:lvl w:ilvl="0" w:tplc="D6EA70E0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766"/>
    <w:multiLevelType w:val="hybridMultilevel"/>
    <w:tmpl w:val="D7429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957E8"/>
    <w:multiLevelType w:val="hybridMultilevel"/>
    <w:tmpl w:val="753CDECA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07D69"/>
    <w:multiLevelType w:val="hybridMultilevel"/>
    <w:tmpl w:val="09E63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27565"/>
    <w:multiLevelType w:val="hybridMultilevel"/>
    <w:tmpl w:val="0EB0B330"/>
    <w:lvl w:ilvl="0" w:tplc="B2447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F04E32"/>
    <w:multiLevelType w:val="hybridMultilevel"/>
    <w:tmpl w:val="7D42B3B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ED269D"/>
    <w:multiLevelType w:val="hybridMultilevel"/>
    <w:tmpl w:val="C1FA3BBC"/>
    <w:lvl w:ilvl="0" w:tplc="F9BC69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D5B32"/>
    <w:multiLevelType w:val="multilevel"/>
    <w:tmpl w:val="B26C89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CC67C1"/>
    <w:multiLevelType w:val="hybridMultilevel"/>
    <w:tmpl w:val="21A8745E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A342A856">
      <w:numFmt w:val="bullet"/>
      <w:lvlText w:val="•"/>
      <w:lvlJc w:val="left"/>
      <w:pPr>
        <w:ind w:left="1845" w:hanging="705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3E40689C"/>
    <w:multiLevelType w:val="hybridMultilevel"/>
    <w:tmpl w:val="EFC61F0A"/>
    <w:lvl w:ilvl="0" w:tplc="53AA2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75890"/>
    <w:multiLevelType w:val="hybridMultilevel"/>
    <w:tmpl w:val="BD3E980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433475D3"/>
    <w:multiLevelType w:val="hybridMultilevel"/>
    <w:tmpl w:val="A878AFB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11E87"/>
    <w:multiLevelType w:val="hybridMultilevel"/>
    <w:tmpl w:val="95FEC6F8"/>
    <w:lvl w:ilvl="0" w:tplc="81DC6C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C827B4"/>
    <w:multiLevelType w:val="hybridMultilevel"/>
    <w:tmpl w:val="5E242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732ACC"/>
    <w:multiLevelType w:val="hybridMultilevel"/>
    <w:tmpl w:val="82E4CF38"/>
    <w:lvl w:ilvl="0" w:tplc="B0A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C2CC3"/>
    <w:multiLevelType w:val="hybridMultilevel"/>
    <w:tmpl w:val="F5A43E6A"/>
    <w:lvl w:ilvl="0" w:tplc="502AAE8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E5282E"/>
    <w:multiLevelType w:val="hybridMultilevel"/>
    <w:tmpl w:val="B3CE81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C6749DF"/>
    <w:multiLevelType w:val="hybridMultilevel"/>
    <w:tmpl w:val="5E242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564665"/>
    <w:multiLevelType w:val="hybridMultilevel"/>
    <w:tmpl w:val="9AFE8CB8"/>
    <w:lvl w:ilvl="0" w:tplc="7BFE3488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9DB73EB"/>
    <w:multiLevelType w:val="hybridMultilevel"/>
    <w:tmpl w:val="A34C1308"/>
    <w:lvl w:ilvl="0" w:tplc="53AA2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0D46C3"/>
    <w:multiLevelType w:val="hybridMultilevel"/>
    <w:tmpl w:val="81729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F299B"/>
    <w:multiLevelType w:val="hybridMultilevel"/>
    <w:tmpl w:val="F08A6C10"/>
    <w:lvl w:ilvl="0" w:tplc="3DECE75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E17020"/>
    <w:multiLevelType w:val="hybridMultilevel"/>
    <w:tmpl w:val="B3CC2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DE25A9"/>
    <w:multiLevelType w:val="hybridMultilevel"/>
    <w:tmpl w:val="7BBC7D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0473CB"/>
    <w:multiLevelType w:val="hybridMultilevel"/>
    <w:tmpl w:val="F7EEEE66"/>
    <w:lvl w:ilvl="0" w:tplc="B2447EF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6D120CC6"/>
    <w:multiLevelType w:val="hybridMultilevel"/>
    <w:tmpl w:val="9B2447CC"/>
    <w:lvl w:ilvl="0" w:tplc="CECCE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624FF"/>
    <w:multiLevelType w:val="hybridMultilevel"/>
    <w:tmpl w:val="EC74B08C"/>
    <w:lvl w:ilvl="0" w:tplc="B2447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2D1555"/>
    <w:multiLevelType w:val="hybridMultilevel"/>
    <w:tmpl w:val="9E6AC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C96A74"/>
    <w:multiLevelType w:val="hybridMultilevel"/>
    <w:tmpl w:val="2A4270E4"/>
    <w:lvl w:ilvl="0" w:tplc="50A2EFAC">
      <w:start w:val="1"/>
      <w:numFmt w:val="decimal"/>
      <w:lvlText w:val="%1)"/>
      <w:lvlJc w:val="left"/>
      <w:pPr>
        <w:ind w:left="847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6FC06C25"/>
    <w:multiLevelType w:val="hybridMultilevel"/>
    <w:tmpl w:val="1F9AA5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07F0753"/>
    <w:multiLevelType w:val="hybridMultilevel"/>
    <w:tmpl w:val="5B0A0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0A386A"/>
    <w:multiLevelType w:val="hybridMultilevel"/>
    <w:tmpl w:val="E7961C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844349">
    <w:abstractNumId w:val="29"/>
  </w:num>
  <w:num w:numId="2" w16cid:durableId="1095514007">
    <w:abstractNumId w:val="19"/>
  </w:num>
  <w:num w:numId="3" w16cid:durableId="1277180133">
    <w:abstractNumId w:val="15"/>
  </w:num>
  <w:num w:numId="4" w16cid:durableId="2002193924">
    <w:abstractNumId w:val="5"/>
  </w:num>
  <w:num w:numId="5" w16cid:durableId="2086760793">
    <w:abstractNumId w:val="3"/>
  </w:num>
  <w:num w:numId="6" w16cid:durableId="1576471689">
    <w:abstractNumId w:val="26"/>
  </w:num>
  <w:num w:numId="7" w16cid:durableId="5795027">
    <w:abstractNumId w:val="45"/>
  </w:num>
  <w:num w:numId="8" w16cid:durableId="1546718394">
    <w:abstractNumId w:val="47"/>
  </w:num>
  <w:num w:numId="9" w16cid:durableId="923801813">
    <w:abstractNumId w:val="31"/>
  </w:num>
  <w:num w:numId="10" w16cid:durableId="522135041">
    <w:abstractNumId w:val="22"/>
  </w:num>
  <w:num w:numId="11" w16cid:durableId="650018748">
    <w:abstractNumId w:val="32"/>
  </w:num>
  <w:num w:numId="12" w16cid:durableId="221798753">
    <w:abstractNumId w:val="24"/>
  </w:num>
  <w:num w:numId="13" w16cid:durableId="845369465">
    <w:abstractNumId w:val="17"/>
  </w:num>
  <w:num w:numId="14" w16cid:durableId="101607833">
    <w:abstractNumId w:val="33"/>
  </w:num>
  <w:num w:numId="15" w16cid:durableId="62720832">
    <w:abstractNumId w:val="35"/>
  </w:num>
  <w:num w:numId="16" w16cid:durableId="608052776">
    <w:abstractNumId w:val="2"/>
  </w:num>
  <w:num w:numId="17" w16cid:durableId="752626545">
    <w:abstractNumId w:val="13"/>
  </w:num>
  <w:num w:numId="18" w16cid:durableId="1784034643">
    <w:abstractNumId w:val="36"/>
  </w:num>
  <w:num w:numId="19" w16cid:durableId="337387821">
    <w:abstractNumId w:val="7"/>
  </w:num>
  <w:num w:numId="20" w16cid:durableId="2088184158">
    <w:abstractNumId w:val="34"/>
  </w:num>
  <w:num w:numId="21" w16cid:durableId="1534223130">
    <w:abstractNumId w:val="30"/>
  </w:num>
  <w:num w:numId="22" w16cid:durableId="1489977717">
    <w:abstractNumId w:val="9"/>
  </w:num>
  <w:num w:numId="23" w16cid:durableId="552814144">
    <w:abstractNumId w:val="39"/>
  </w:num>
  <w:num w:numId="24" w16cid:durableId="663751354">
    <w:abstractNumId w:val="11"/>
  </w:num>
  <w:num w:numId="25" w16cid:durableId="1182890863">
    <w:abstractNumId w:val="14"/>
  </w:num>
  <w:num w:numId="26" w16cid:durableId="1405955228">
    <w:abstractNumId w:val="16"/>
  </w:num>
  <w:num w:numId="27" w16cid:durableId="112673909">
    <w:abstractNumId w:val="6"/>
  </w:num>
  <w:num w:numId="28" w16cid:durableId="1322541334">
    <w:abstractNumId w:val="4"/>
  </w:num>
  <w:num w:numId="29" w16cid:durableId="591545084">
    <w:abstractNumId w:val="40"/>
  </w:num>
  <w:num w:numId="30" w16cid:durableId="1242638215">
    <w:abstractNumId w:val="37"/>
  </w:num>
  <w:num w:numId="31" w16cid:durableId="1171136599">
    <w:abstractNumId w:val="1"/>
  </w:num>
  <w:num w:numId="32" w16cid:durableId="2038190078">
    <w:abstractNumId w:val="27"/>
  </w:num>
  <w:num w:numId="33" w16cid:durableId="1824614926">
    <w:abstractNumId w:val="43"/>
  </w:num>
  <w:num w:numId="34" w16cid:durableId="913007908">
    <w:abstractNumId w:val="20"/>
  </w:num>
  <w:num w:numId="35" w16cid:durableId="1201669136">
    <w:abstractNumId w:val="25"/>
  </w:num>
  <w:num w:numId="36" w16cid:durableId="589319003">
    <w:abstractNumId w:val="18"/>
  </w:num>
  <w:num w:numId="37" w16cid:durableId="1088623692">
    <w:abstractNumId w:val="8"/>
  </w:num>
  <w:num w:numId="38" w16cid:durableId="1520586475">
    <w:abstractNumId w:val="21"/>
  </w:num>
  <w:num w:numId="39" w16cid:durableId="412899824">
    <w:abstractNumId w:val="10"/>
  </w:num>
  <w:num w:numId="40" w16cid:durableId="816537591">
    <w:abstractNumId w:val="48"/>
  </w:num>
  <w:num w:numId="41" w16cid:durableId="888149017">
    <w:abstractNumId w:val="38"/>
  </w:num>
  <w:num w:numId="42" w16cid:durableId="1683625113">
    <w:abstractNumId w:val="42"/>
  </w:num>
  <w:num w:numId="43" w16cid:durableId="1911115673">
    <w:abstractNumId w:val="46"/>
  </w:num>
  <w:num w:numId="44" w16cid:durableId="638192202">
    <w:abstractNumId w:val="44"/>
  </w:num>
  <w:num w:numId="45" w16cid:durableId="518353517">
    <w:abstractNumId w:val="41"/>
  </w:num>
  <w:num w:numId="46" w16cid:durableId="878979110">
    <w:abstractNumId w:val="12"/>
  </w:num>
  <w:num w:numId="47" w16cid:durableId="1171215782">
    <w:abstractNumId w:val="23"/>
  </w:num>
  <w:num w:numId="48" w16cid:durableId="34087744">
    <w:abstractNumId w:val="0"/>
  </w:num>
  <w:num w:numId="49" w16cid:durableId="16312087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167EE"/>
    <w:rsid w:val="000015C7"/>
    <w:rsid w:val="00004452"/>
    <w:rsid w:val="000069C6"/>
    <w:rsid w:val="00007054"/>
    <w:rsid w:val="00010179"/>
    <w:rsid w:val="00013081"/>
    <w:rsid w:val="00015440"/>
    <w:rsid w:val="000167EE"/>
    <w:rsid w:val="00022A9E"/>
    <w:rsid w:val="0002685C"/>
    <w:rsid w:val="00027491"/>
    <w:rsid w:val="000279E5"/>
    <w:rsid w:val="000349DD"/>
    <w:rsid w:val="00036995"/>
    <w:rsid w:val="00052511"/>
    <w:rsid w:val="00054930"/>
    <w:rsid w:val="00057412"/>
    <w:rsid w:val="0005762F"/>
    <w:rsid w:val="00061230"/>
    <w:rsid w:val="0007086F"/>
    <w:rsid w:val="00077443"/>
    <w:rsid w:val="00085355"/>
    <w:rsid w:val="0009022D"/>
    <w:rsid w:val="00090BF6"/>
    <w:rsid w:val="000916A2"/>
    <w:rsid w:val="000A3C38"/>
    <w:rsid w:val="000A7AA6"/>
    <w:rsid w:val="000C1145"/>
    <w:rsid w:val="000C3110"/>
    <w:rsid w:val="000D047E"/>
    <w:rsid w:val="000D242C"/>
    <w:rsid w:val="000D5197"/>
    <w:rsid w:val="000D59FE"/>
    <w:rsid w:val="000E2A00"/>
    <w:rsid w:val="000E6B18"/>
    <w:rsid w:val="00105615"/>
    <w:rsid w:val="00106BD5"/>
    <w:rsid w:val="0011614D"/>
    <w:rsid w:val="00125CA8"/>
    <w:rsid w:val="00127419"/>
    <w:rsid w:val="001465A3"/>
    <w:rsid w:val="0015312A"/>
    <w:rsid w:val="00163AB6"/>
    <w:rsid w:val="0016686A"/>
    <w:rsid w:val="00181F16"/>
    <w:rsid w:val="00187702"/>
    <w:rsid w:val="00191288"/>
    <w:rsid w:val="001A07DF"/>
    <w:rsid w:val="001A1F29"/>
    <w:rsid w:val="001C312B"/>
    <w:rsid w:val="001F0E8E"/>
    <w:rsid w:val="00202735"/>
    <w:rsid w:val="00203D3D"/>
    <w:rsid w:val="002041D1"/>
    <w:rsid w:val="0021023B"/>
    <w:rsid w:val="002248D2"/>
    <w:rsid w:val="00226B7A"/>
    <w:rsid w:val="0023169B"/>
    <w:rsid w:val="0023743F"/>
    <w:rsid w:val="00242DEA"/>
    <w:rsid w:val="00271368"/>
    <w:rsid w:val="00280A98"/>
    <w:rsid w:val="00282E6E"/>
    <w:rsid w:val="00285A8C"/>
    <w:rsid w:val="00295A98"/>
    <w:rsid w:val="00295F5B"/>
    <w:rsid w:val="00297AB2"/>
    <w:rsid w:val="002A3EFF"/>
    <w:rsid w:val="002B3DF7"/>
    <w:rsid w:val="002B4AA8"/>
    <w:rsid w:val="002D7D52"/>
    <w:rsid w:val="002D7FC0"/>
    <w:rsid w:val="002E1AB5"/>
    <w:rsid w:val="0030620D"/>
    <w:rsid w:val="003161AF"/>
    <w:rsid w:val="003228EA"/>
    <w:rsid w:val="00323345"/>
    <w:rsid w:val="003246C0"/>
    <w:rsid w:val="00326E2F"/>
    <w:rsid w:val="0034548C"/>
    <w:rsid w:val="00347FA7"/>
    <w:rsid w:val="003514CF"/>
    <w:rsid w:val="0035578B"/>
    <w:rsid w:val="00357029"/>
    <w:rsid w:val="00364BDF"/>
    <w:rsid w:val="003724BB"/>
    <w:rsid w:val="00373FE2"/>
    <w:rsid w:val="00385B66"/>
    <w:rsid w:val="0039352F"/>
    <w:rsid w:val="003A4745"/>
    <w:rsid w:val="003B3147"/>
    <w:rsid w:val="003B6DB1"/>
    <w:rsid w:val="003C5D42"/>
    <w:rsid w:val="003D075E"/>
    <w:rsid w:val="003F1B7F"/>
    <w:rsid w:val="003F33C9"/>
    <w:rsid w:val="003F71AD"/>
    <w:rsid w:val="003F7C16"/>
    <w:rsid w:val="00415A6D"/>
    <w:rsid w:val="004169C2"/>
    <w:rsid w:val="00432098"/>
    <w:rsid w:val="00432804"/>
    <w:rsid w:val="0043569F"/>
    <w:rsid w:val="00435FD8"/>
    <w:rsid w:val="00445899"/>
    <w:rsid w:val="00450368"/>
    <w:rsid w:val="00451AA0"/>
    <w:rsid w:val="004574D4"/>
    <w:rsid w:val="004609ED"/>
    <w:rsid w:val="0046626D"/>
    <w:rsid w:val="00467505"/>
    <w:rsid w:val="00470450"/>
    <w:rsid w:val="0047170E"/>
    <w:rsid w:val="00474959"/>
    <w:rsid w:val="00483A3C"/>
    <w:rsid w:val="0048455A"/>
    <w:rsid w:val="00491E55"/>
    <w:rsid w:val="00492FD2"/>
    <w:rsid w:val="004933CB"/>
    <w:rsid w:val="004A403E"/>
    <w:rsid w:val="004B0335"/>
    <w:rsid w:val="004B43F0"/>
    <w:rsid w:val="004C6BD1"/>
    <w:rsid w:val="004D45DF"/>
    <w:rsid w:val="004E6608"/>
    <w:rsid w:val="004E687B"/>
    <w:rsid w:val="004F003F"/>
    <w:rsid w:val="004F0627"/>
    <w:rsid w:val="004F3AC2"/>
    <w:rsid w:val="005007BA"/>
    <w:rsid w:val="00501379"/>
    <w:rsid w:val="00506A11"/>
    <w:rsid w:val="00515CE9"/>
    <w:rsid w:val="0051701B"/>
    <w:rsid w:val="00517FD7"/>
    <w:rsid w:val="00522A83"/>
    <w:rsid w:val="00523310"/>
    <w:rsid w:val="00526E68"/>
    <w:rsid w:val="005327B0"/>
    <w:rsid w:val="00534A17"/>
    <w:rsid w:val="005464CC"/>
    <w:rsid w:val="005526F6"/>
    <w:rsid w:val="00570C3B"/>
    <w:rsid w:val="0057160C"/>
    <w:rsid w:val="00572E84"/>
    <w:rsid w:val="0057346A"/>
    <w:rsid w:val="0058424F"/>
    <w:rsid w:val="0058653D"/>
    <w:rsid w:val="00595A99"/>
    <w:rsid w:val="005A4F35"/>
    <w:rsid w:val="005B4ADA"/>
    <w:rsid w:val="005B730B"/>
    <w:rsid w:val="005C3E72"/>
    <w:rsid w:val="005C48D4"/>
    <w:rsid w:val="005D2592"/>
    <w:rsid w:val="005D4442"/>
    <w:rsid w:val="005E0748"/>
    <w:rsid w:val="005E26F0"/>
    <w:rsid w:val="00612DA0"/>
    <w:rsid w:val="00633148"/>
    <w:rsid w:val="00636590"/>
    <w:rsid w:val="00663588"/>
    <w:rsid w:val="006730FA"/>
    <w:rsid w:val="006755F2"/>
    <w:rsid w:val="00683F7E"/>
    <w:rsid w:val="006848E9"/>
    <w:rsid w:val="0068586D"/>
    <w:rsid w:val="006911C5"/>
    <w:rsid w:val="006935F8"/>
    <w:rsid w:val="006A112A"/>
    <w:rsid w:val="006A22F8"/>
    <w:rsid w:val="006B2057"/>
    <w:rsid w:val="006B2806"/>
    <w:rsid w:val="006B5887"/>
    <w:rsid w:val="006C2979"/>
    <w:rsid w:val="006E73CC"/>
    <w:rsid w:val="006F5C9E"/>
    <w:rsid w:val="0070241F"/>
    <w:rsid w:val="00705812"/>
    <w:rsid w:val="00720C07"/>
    <w:rsid w:val="007234FC"/>
    <w:rsid w:val="00727689"/>
    <w:rsid w:val="00731EAB"/>
    <w:rsid w:val="00735FC6"/>
    <w:rsid w:val="00742336"/>
    <w:rsid w:val="00745059"/>
    <w:rsid w:val="00754A5B"/>
    <w:rsid w:val="00763AE3"/>
    <w:rsid w:val="00773684"/>
    <w:rsid w:val="007736BE"/>
    <w:rsid w:val="00777BAC"/>
    <w:rsid w:val="007807A0"/>
    <w:rsid w:val="0078417B"/>
    <w:rsid w:val="007928B2"/>
    <w:rsid w:val="00792CF7"/>
    <w:rsid w:val="00796D16"/>
    <w:rsid w:val="007A1D07"/>
    <w:rsid w:val="007A5F52"/>
    <w:rsid w:val="007C7AB4"/>
    <w:rsid w:val="007E6722"/>
    <w:rsid w:val="007F0EE2"/>
    <w:rsid w:val="007F7FE0"/>
    <w:rsid w:val="008011D5"/>
    <w:rsid w:val="00802206"/>
    <w:rsid w:val="008116F2"/>
    <w:rsid w:val="0082557A"/>
    <w:rsid w:val="008260D5"/>
    <w:rsid w:val="00833D93"/>
    <w:rsid w:val="0084209E"/>
    <w:rsid w:val="00860616"/>
    <w:rsid w:val="00861D30"/>
    <w:rsid w:val="008649E2"/>
    <w:rsid w:val="008845A9"/>
    <w:rsid w:val="00884B29"/>
    <w:rsid w:val="008872F1"/>
    <w:rsid w:val="0089225D"/>
    <w:rsid w:val="00893CF0"/>
    <w:rsid w:val="008972E8"/>
    <w:rsid w:val="008A00F5"/>
    <w:rsid w:val="008A1AFB"/>
    <w:rsid w:val="008B76A6"/>
    <w:rsid w:val="008E20E7"/>
    <w:rsid w:val="008E3CCE"/>
    <w:rsid w:val="008F00D4"/>
    <w:rsid w:val="00912BFA"/>
    <w:rsid w:val="009141DD"/>
    <w:rsid w:val="00924A0E"/>
    <w:rsid w:val="0092590A"/>
    <w:rsid w:val="00932D39"/>
    <w:rsid w:val="00935E9E"/>
    <w:rsid w:val="00941188"/>
    <w:rsid w:val="009463CB"/>
    <w:rsid w:val="00950757"/>
    <w:rsid w:val="009532D2"/>
    <w:rsid w:val="0095699B"/>
    <w:rsid w:val="0095700D"/>
    <w:rsid w:val="0096066E"/>
    <w:rsid w:val="00986FB4"/>
    <w:rsid w:val="00996A8F"/>
    <w:rsid w:val="009979EC"/>
    <w:rsid w:val="00997C19"/>
    <w:rsid w:val="009A2387"/>
    <w:rsid w:val="009A566A"/>
    <w:rsid w:val="009B04E5"/>
    <w:rsid w:val="009B1A06"/>
    <w:rsid w:val="009C7E30"/>
    <w:rsid w:val="009D5237"/>
    <w:rsid w:val="009E411B"/>
    <w:rsid w:val="009F2AA4"/>
    <w:rsid w:val="009F4BD4"/>
    <w:rsid w:val="00A1747B"/>
    <w:rsid w:val="00A366AA"/>
    <w:rsid w:val="00A60B9D"/>
    <w:rsid w:val="00A636FF"/>
    <w:rsid w:val="00A6457A"/>
    <w:rsid w:val="00A65251"/>
    <w:rsid w:val="00A66B5E"/>
    <w:rsid w:val="00A805BD"/>
    <w:rsid w:val="00A977CB"/>
    <w:rsid w:val="00AA125E"/>
    <w:rsid w:val="00AA16E4"/>
    <w:rsid w:val="00AA542B"/>
    <w:rsid w:val="00AB11E7"/>
    <w:rsid w:val="00AB226D"/>
    <w:rsid w:val="00AB5D10"/>
    <w:rsid w:val="00AD07B7"/>
    <w:rsid w:val="00AD701D"/>
    <w:rsid w:val="00AD721E"/>
    <w:rsid w:val="00AE5845"/>
    <w:rsid w:val="00AE63A6"/>
    <w:rsid w:val="00AF10F6"/>
    <w:rsid w:val="00B038CA"/>
    <w:rsid w:val="00B10303"/>
    <w:rsid w:val="00B12432"/>
    <w:rsid w:val="00B13A23"/>
    <w:rsid w:val="00B36373"/>
    <w:rsid w:val="00B53550"/>
    <w:rsid w:val="00B63D34"/>
    <w:rsid w:val="00B74458"/>
    <w:rsid w:val="00B930DB"/>
    <w:rsid w:val="00BA26EC"/>
    <w:rsid w:val="00BA5491"/>
    <w:rsid w:val="00BB145A"/>
    <w:rsid w:val="00BC01C1"/>
    <w:rsid w:val="00BC0E57"/>
    <w:rsid w:val="00BC24C7"/>
    <w:rsid w:val="00BD693A"/>
    <w:rsid w:val="00BE0FBE"/>
    <w:rsid w:val="00C00FFA"/>
    <w:rsid w:val="00C04B4C"/>
    <w:rsid w:val="00C0515E"/>
    <w:rsid w:val="00C11088"/>
    <w:rsid w:val="00C340D6"/>
    <w:rsid w:val="00C36559"/>
    <w:rsid w:val="00C43E21"/>
    <w:rsid w:val="00C478AC"/>
    <w:rsid w:val="00C50722"/>
    <w:rsid w:val="00C5323C"/>
    <w:rsid w:val="00C53F76"/>
    <w:rsid w:val="00C61820"/>
    <w:rsid w:val="00C7274C"/>
    <w:rsid w:val="00C8301F"/>
    <w:rsid w:val="00CA142C"/>
    <w:rsid w:val="00CB3C2C"/>
    <w:rsid w:val="00CC3269"/>
    <w:rsid w:val="00CD3CE7"/>
    <w:rsid w:val="00CD69B1"/>
    <w:rsid w:val="00CE509A"/>
    <w:rsid w:val="00CE565D"/>
    <w:rsid w:val="00CE712C"/>
    <w:rsid w:val="00D030D3"/>
    <w:rsid w:val="00D11E95"/>
    <w:rsid w:val="00D13E74"/>
    <w:rsid w:val="00D174B1"/>
    <w:rsid w:val="00D333F5"/>
    <w:rsid w:val="00D34D77"/>
    <w:rsid w:val="00D36159"/>
    <w:rsid w:val="00D36B35"/>
    <w:rsid w:val="00D42C2C"/>
    <w:rsid w:val="00D476B7"/>
    <w:rsid w:val="00D5651C"/>
    <w:rsid w:val="00D67258"/>
    <w:rsid w:val="00D72D55"/>
    <w:rsid w:val="00D8268E"/>
    <w:rsid w:val="00D9789C"/>
    <w:rsid w:val="00DA2073"/>
    <w:rsid w:val="00DA3F9D"/>
    <w:rsid w:val="00DA4EB4"/>
    <w:rsid w:val="00DB2546"/>
    <w:rsid w:val="00DB38DD"/>
    <w:rsid w:val="00DB6A3F"/>
    <w:rsid w:val="00DE30F3"/>
    <w:rsid w:val="00DF15F9"/>
    <w:rsid w:val="00DF397F"/>
    <w:rsid w:val="00E04D4B"/>
    <w:rsid w:val="00E050DD"/>
    <w:rsid w:val="00E144DE"/>
    <w:rsid w:val="00E149C2"/>
    <w:rsid w:val="00E16824"/>
    <w:rsid w:val="00E364B4"/>
    <w:rsid w:val="00E51279"/>
    <w:rsid w:val="00E62E44"/>
    <w:rsid w:val="00E63DDC"/>
    <w:rsid w:val="00E76F6D"/>
    <w:rsid w:val="00E77035"/>
    <w:rsid w:val="00E77DBA"/>
    <w:rsid w:val="00E81012"/>
    <w:rsid w:val="00E95BC8"/>
    <w:rsid w:val="00EA5022"/>
    <w:rsid w:val="00EA7719"/>
    <w:rsid w:val="00EB35E0"/>
    <w:rsid w:val="00EB3C02"/>
    <w:rsid w:val="00EB626D"/>
    <w:rsid w:val="00EB74A4"/>
    <w:rsid w:val="00ED3E53"/>
    <w:rsid w:val="00EE0114"/>
    <w:rsid w:val="00EE0272"/>
    <w:rsid w:val="00EF6A70"/>
    <w:rsid w:val="00F010B9"/>
    <w:rsid w:val="00F02489"/>
    <w:rsid w:val="00F118A0"/>
    <w:rsid w:val="00F24B86"/>
    <w:rsid w:val="00F44938"/>
    <w:rsid w:val="00F52E25"/>
    <w:rsid w:val="00F56FE1"/>
    <w:rsid w:val="00F62B1D"/>
    <w:rsid w:val="00F70D4A"/>
    <w:rsid w:val="00F71D0A"/>
    <w:rsid w:val="00F7218F"/>
    <w:rsid w:val="00F85D19"/>
    <w:rsid w:val="00F92BA6"/>
    <w:rsid w:val="00F97F3E"/>
    <w:rsid w:val="00FA50F2"/>
    <w:rsid w:val="00FA620F"/>
    <w:rsid w:val="00FA6432"/>
    <w:rsid w:val="00FC553F"/>
    <w:rsid w:val="00FD061F"/>
    <w:rsid w:val="00FD2520"/>
    <w:rsid w:val="00FD7626"/>
    <w:rsid w:val="00FD7EAF"/>
    <w:rsid w:val="00FE1E4D"/>
    <w:rsid w:val="00FE2369"/>
    <w:rsid w:val="00FE51F6"/>
    <w:rsid w:val="00FF1303"/>
    <w:rsid w:val="2147407D"/>
    <w:rsid w:val="3D53C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82CE"/>
  <w15:chartTrackingRefBased/>
  <w15:docId w15:val="{E1DD2E5E-61A5-465B-9531-8E05D8D1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F29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1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12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D77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aliases w:val="Numerowanie,Wykres,Akapit z listą1"/>
    <w:basedOn w:val="Normalny"/>
    <w:link w:val="AkapitzlistZnak"/>
    <w:uiPriority w:val="34"/>
    <w:qFormat/>
    <w:rsid w:val="006935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7D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A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7DF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7807A0"/>
    <w:rPr>
      <w:color w:val="0563C1"/>
      <w:u w:val="single"/>
    </w:rPr>
  </w:style>
  <w:style w:type="paragraph" w:styleId="Poprawka">
    <w:name w:val="Revision"/>
    <w:hidden/>
    <w:uiPriority w:val="99"/>
    <w:semiHidden/>
    <w:rsid w:val="00007054"/>
    <w:pPr>
      <w:spacing w:after="0" w:line="240" w:lineRule="auto"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38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38DD"/>
    <w:rPr>
      <w:rFonts w:ascii="Calibri" w:eastAsia="Times New Roman" w:hAnsi="Calibri" w:cs="Times New Roman"/>
      <w:sz w:val="20"/>
      <w:szCs w:val="20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,Podrozdział,F"/>
    <w:basedOn w:val="Normalny"/>
    <w:link w:val="TekstprzypisudolnegoZnak"/>
    <w:uiPriority w:val="99"/>
    <w:unhideWhenUsed/>
    <w:qFormat/>
    <w:rsid w:val="00DB38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uiPriority w:val="99"/>
    <w:qFormat/>
    <w:rsid w:val="00DB38DD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DB38DD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03E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Numerowanie Znak,Wykres Znak,Akapit z listą1 Znak"/>
    <w:link w:val="Akapitzlist"/>
    <w:uiPriority w:val="34"/>
    <w:qFormat/>
    <w:locked/>
    <w:rsid w:val="00285A8C"/>
    <w:rPr>
      <w:rFonts w:ascii="Calibri" w:eastAsia="Times New Roman" w:hAnsi="Calibri" w:cs="Times New Roman"/>
    </w:rPr>
  </w:style>
  <w:style w:type="paragraph" w:customStyle="1" w:styleId="Default">
    <w:name w:val="Default"/>
    <w:rsid w:val="008B76A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12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12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rsid w:val="005013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05615"/>
    <w:pPr>
      <w:tabs>
        <w:tab w:val="left" w:pos="851"/>
        <w:tab w:val="right" w:leader="dot" w:pos="9394"/>
      </w:tabs>
      <w:spacing w:before="360" w:after="360" w:line="240" w:lineRule="auto"/>
    </w:pPr>
    <w:rPr>
      <w:noProof/>
      <w:sz w:val="28"/>
      <w:lang w:eastAsia="pl-PL"/>
    </w:rPr>
  </w:style>
  <w:style w:type="paragraph" w:styleId="Bezodstpw">
    <w:name w:val="No Spacing"/>
    <w:uiPriority w:val="1"/>
    <w:qFormat/>
    <w:rsid w:val="001056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18249A-C949-4098-B5BC-E2FB6424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24</Pages>
  <Words>4324</Words>
  <Characters>25946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Skrzyńska</dc:creator>
  <cp:keywords/>
  <dc:description/>
  <cp:lastModifiedBy>Monika Langner</cp:lastModifiedBy>
  <cp:revision>25</cp:revision>
  <cp:lastPrinted>2026-04-30T08:45:00Z</cp:lastPrinted>
  <dcterms:created xsi:type="dcterms:W3CDTF">2026-04-29T13:32:00Z</dcterms:created>
  <dcterms:modified xsi:type="dcterms:W3CDTF">2026-06-15T08:19:00Z</dcterms:modified>
</cp:coreProperties>
</file>