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47B4E" w14:textId="77777777" w:rsidR="007E2797" w:rsidRPr="004B77D6" w:rsidRDefault="007E2797" w:rsidP="007E2797">
      <w:pPr>
        <w:jc w:val="right"/>
        <w:rPr>
          <w:rFonts w:ascii="Calibri" w:hAnsi="Calibri"/>
        </w:rPr>
      </w:pPr>
      <w:r w:rsidRPr="004B77D6">
        <w:rPr>
          <w:rFonts w:ascii="Calibri" w:hAnsi="Calibri"/>
          <w:noProof/>
        </w:rPr>
        <w:drawing>
          <wp:inline distT="0" distB="0" distL="0" distR="0" wp14:anchorId="4B065C22" wp14:editId="3283741B">
            <wp:extent cx="5772150" cy="587336"/>
            <wp:effectExtent l="0" t="0" r="0" b="3810"/>
            <wp:docPr id="14"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przedstawiający ciąg znaków programu Fundusze Europejskie dla Opolskiego 2021-2027  " title="Logotyp programu Fundusze Europejskie dla Opolskiego 2021-2027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973" cy="595764"/>
                    </a:xfrm>
                    <a:prstGeom prst="rect">
                      <a:avLst/>
                    </a:prstGeom>
                    <a:noFill/>
                    <a:ln>
                      <a:noFill/>
                    </a:ln>
                  </pic:spPr>
                </pic:pic>
              </a:graphicData>
            </a:graphic>
          </wp:inline>
        </w:drawing>
      </w:r>
    </w:p>
    <w:p w14:paraId="48EB282B" w14:textId="77777777" w:rsidR="007E2797" w:rsidRPr="004B77D6" w:rsidRDefault="007E2797" w:rsidP="007E2797">
      <w:pPr>
        <w:rPr>
          <w:rFonts w:ascii="Calibri" w:hAnsi="Calibri"/>
        </w:rPr>
      </w:pPr>
    </w:p>
    <w:p w14:paraId="0070C261" w14:textId="77777777" w:rsidR="007E2797" w:rsidRPr="004B77D6" w:rsidRDefault="007E2797" w:rsidP="007E2797">
      <w:pPr>
        <w:rPr>
          <w:rFonts w:ascii="Calibri" w:hAnsi="Calibri"/>
        </w:rPr>
      </w:pPr>
    </w:p>
    <w:p w14:paraId="00DDC508" w14:textId="77777777" w:rsidR="007E2797" w:rsidRPr="004B77D6" w:rsidRDefault="007E2797" w:rsidP="007E2797">
      <w:pPr>
        <w:rPr>
          <w:rFonts w:ascii="Calibri" w:hAnsi="Calibri"/>
        </w:rPr>
      </w:pPr>
    </w:p>
    <w:p w14:paraId="56DC6373" w14:textId="77777777" w:rsidR="007E2797" w:rsidRPr="004B77D6" w:rsidRDefault="007E2797" w:rsidP="007E2797">
      <w:pPr>
        <w:rPr>
          <w:rFonts w:ascii="Calibri" w:hAnsi="Calibri"/>
        </w:rPr>
      </w:pPr>
    </w:p>
    <w:p w14:paraId="5FE02A2C" w14:textId="77777777" w:rsidR="007E2797" w:rsidRPr="004B77D6" w:rsidRDefault="007E2797" w:rsidP="007E2797">
      <w:pPr>
        <w:rPr>
          <w:rFonts w:ascii="Calibri" w:hAnsi="Calibri"/>
          <w:sz w:val="32"/>
        </w:rPr>
      </w:pPr>
    </w:p>
    <w:p w14:paraId="35BEC116" w14:textId="77777777" w:rsidR="00A24018" w:rsidRPr="004B77D6" w:rsidRDefault="00A24018" w:rsidP="007E2797">
      <w:pPr>
        <w:rPr>
          <w:rFonts w:ascii="Calibri" w:hAnsi="Calibri"/>
          <w:sz w:val="32"/>
        </w:rPr>
      </w:pPr>
    </w:p>
    <w:p w14:paraId="7202406E" w14:textId="77777777" w:rsidR="00A24018" w:rsidRPr="004B77D6" w:rsidRDefault="00A24018" w:rsidP="007E2797">
      <w:pPr>
        <w:rPr>
          <w:rFonts w:ascii="Calibri" w:hAnsi="Calibri"/>
          <w:sz w:val="32"/>
        </w:rPr>
      </w:pPr>
    </w:p>
    <w:p w14:paraId="7C79AB02" w14:textId="77777777" w:rsidR="00A24018" w:rsidRPr="004B77D6" w:rsidRDefault="00A24018" w:rsidP="007E2797">
      <w:pPr>
        <w:rPr>
          <w:rFonts w:ascii="Calibri" w:hAnsi="Calibri"/>
          <w:sz w:val="32"/>
        </w:rPr>
      </w:pPr>
    </w:p>
    <w:p w14:paraId="62A27990" w14:textId="77777777" w:rsidR="007E2797" w:rsidRPr="004B77D6" w:rsidRDefault="007E2797" w:rsidP="007E2797">
      <w:pPr>
        <w:rPr>
          <w:rFonts w:ascii="Calibri" w:hAnsi="Calibri"/>
          <w:sz w:val="32"/>
        </w:rPr>
      </w:pPr>
    </w:p>
    <w:p w14:paraId="1B9D1744" w14:textId="2FD727F1" w:rsidR="00C2071D" w:rsidRPr="00854A1A" w:rsidRDefault="00854A1A" w:rsidP="007E2797">
      <w:pPr>
        <w:rPr>
          <w:rFonts w:ascii="Calibri" w:hAnsi="Calibri"/>
          <w:b/>
          <w:sz w:val="44"/>
          <w:szCs w:val="44"/>
        </w:rPr>
      </w:pPr>
      <w:r w:rsidRPr="00854A1A">
        <w:rPr>
          <w:rFonts w:ascii="Calibri" w:hAnsi="Calibri"/>
          <w:b/>
          <w:sz w:val="44"/>
          <w:szCs w:val="44"/>
        </w:rPr>
        <w:t>ZAŁĄCZNIK NR 6</w:t>
      </w:r>
      <w:r w:rsidR="00B341A5">
        <w:rPr>
          <w:rFonts w:ascii="Calibri" w:hAnsi="Calibri"/>
          <w:b/>
          <w:sz w:val="44"/>
          <w:szCs w:val="44"/>
        </w:rPr>
        <w:t xml:space="preserve"> </w:t>
      </w:r>
      <w:r w:rsidRPr="00854A1A">
        <w:rPr>
          <w:rFonts w:ascii="Calibri" w:hAnsi="Calibri"/>
          <w:b/>
          <w:sz w:val="44"/>
          <w:szCs w:val="44"/>
        </w:rPr>
        <w:t xml:space="preserve"> </w:t>
      </w:r>
    </w:p>
    <w:p w14:paraId="0E1E83AC" w14:textId="7D5F98BC" w:rsidR="007E2797" w:rsidRPr="00854A1A" w:rsidRDefault="00854A1A" w:rsidP="007E2797">
      <w:pPr>
        <w:rPr>
          <w:rFonts w:ascii="Calibri" w:hAnsi="Calibri"/>
          <w:b/>
          <w:sz w:val="44"/>
          <w:szCs w:val="44"/>
        </w:rPr>
      </w:pPr>
      <w:r w:rsidRPr="00854A1A">
        <w:rPr>
          <w:rFonts w:ascii="Calibri" w:hAnsi="Calibri"/>
          <w:b/>
          <w:sz w:val="44"/>
          <w:szCs w:val="44"/>
        </w:rPr>
        <w:t>INSTRUKCJA WYPEŁNIANIA ZAŁĄCZNIKÓW DO</w:t>
      </w:r>
      <w:r w:rsidR="002C0B1E">
        <w:rPr>
          <w:rFonts w:ascii="Calibri" w:hAnsi="Calibri"/>
          <w:b/>
          <w:sz w:val="44"/>
          <w:szCs w:val="44"/>
        </w:rPr>
        <w:t> </w:t>
      </w:r>
      <w:r w:rsidRPr="00854A1A">
        <w:rPr>
          <w:rFonts w:ascii="Calibri" w:hAnsi="Calibri"/>
          <w:b/>
          <w:sz w:val="44"/>
          <w:szCs w:val="44"/>
        </w:rPr>
        <w:t>WNIOSKU O DOFINANSOWANIE PROJEKTU ZE</w:t>
      </w:r>
      <w:r w:rsidR="002C0B1E">
        <w:rPr>
          <w:rFonts w:ascii="Calibri" w:hAnsi="Calibri"/>
          <w:b/>
          <w:sz w:val="44"/>
          <w:szCs w:val="44"/>
        </w:rPr>
        <w:t> </w:t>
      </w:r>
      <w:r w:rsidRPr="00854A1A">
        <w:rPr>
          <w:rFonts w:ascii="Calibri" w:hAnsi="Calibri"/>
          <w:b/>
          <w:sz w:val="44"/>
          <w:szCs w:val="44"/>
        </w:rPr>
        <w:t>ŚRODKÓW EFRR DLA POZOSTAŁYCH WNIOSKODAWCÓW</w:t>
      </w:r>
    </w:p>
    <w:p w14:paraId="43AE28B6" w14:textId="77777777" w:rsidR="007E2797" w:rsidRPr="004B77D6" w:rsidRDefault="007E2797" w:rsidP="007E2797">
      <w:pPr>
        <w:rPr>
          <w:rFonts w:ascii="Calibri" w:hAnsi="Calibri"/>
          <w:sz w:val="32"/>
          <w:szCs w:val="32"/>
        </w:rPr>
      </w:pPr>
    </w:p>
    <w:p w14:paraId="0B5CB60C" w14:textId="77777777" w:rsidR="007E2797" w:rsidRPr="004B77D6" w:rsidRDefault="007E2797" w:rsidP="007E2797">
      <w:pPr>
        <w:rPr>
          <w:rFonts w:ascii="Calibri" w:hAnsi="Calibri"/>
          <w:sz w:val="32"/>
          <w:szCs w:val="32"/>
        </w:rPr>
      </w:pPr>
    </w:p>
    <w:p w14:paraId="7EC09B5C" w14:textId="77777777" w:rsidR="007E2797" w:rsidRPr="004B77D6" w:rsidRDefault="007E2797" w:rsidP="007E2797">
      <w:pPr>
        <w:rPr>
          <w:rFonts w:ascii="Calibri" w:hAnsi="Calibri"/>
          <w:sz w:val="32"/>
          <w:szCs w:val="32"/>
        </w:rPr>
      </w:pPr>
    </w:p>
    <w:p w14:paraId="3E1510AF" w14:textId="77777777" w:rsidR="007E2797" w:rsidRPr="004B77D6" w:rsidRDefault="007E2797" w:rsidP="007E2797">
      <w:pPr>
        <w:tabs>
          <w:tab w:val="left" w:pos="5160"/>
          <w:tab w:val="left" w:pos="5745"/>
        </w:tabs>
        <w:rPr>
          <w:rFonts w:ascii="Calibri" w:hAnsi="Calibri"/>
          <w:sz w:val="32"/>
          <w:szCs w:val="32"/>
        </w:rPr>
      </w:pPr>
      <w:r w:rsidRPr="004B77D6">
        <w:rPr>
          <w:rFonts w:ascii="Calibri" w:hAnsi="Calibri"/>
          <w:sz w:val="32"/>
          <w:szCs w:val="32"/>
        </w:rPr>
        <w:tab/>
      </w:r>
      <w:r w:rsidRPr="004B77D6">
        <w:rPr>
          <w:rFonts w:ascii="Calibri" w:hAnsi="Calibri"/>
          <w:sz w:val="32"/>
          <w:szCs w:val="32"/>
        </w:rPr>
        <w:tab/>
      </w:r>
    </w:p>
    <w:p w14:paraId="492DD194" w14:textId="77777777" w:rsidR="007E2797" w:rsidRPr="004B77D6" w:rsidRDefault="007E2797" w:rsidP="007E2797">
      <w:pPr>
        <w:rPr>
          <w:rFonts w:ascii="Calibri" w:hAnsi="Calibri"/>
          <w:sz w:val="32"/>
          <w:szCs w:val="32"/>
        </w:rPr>
      </w:pPr>
    </w:p>
    <w:p w14:paraId="7DCE09F5" w14:textId="77777777" w:rsidR="007E2797" w:rsidRPr="004B77D6" w:rsidRDefault="007E2797" w:rsidP="007E2797">
      <w:pPr>
        <w:rPr>
          <w:rFonts w:ascii="Calibri" w:hAnsi="Calibri"/>
          <w:sz w:val="32"/>
          <w:szCs w:val="32"/>
        </w:rPr>
      </w:pPr>
    </w:p>
    <w:p w14:paraId="6460EB1F" w14:textId="77777777" w:rsidR="007E2797" w:rsidRPr="004B77D6" w:rsidRDefault="007E2797" w:rsidP="007E2797">
      <w:pPr>
        <w:rPr>
          <w:rFonts w:ascii="Calibri" w:hAnsi="Calibri"/>
          <w:sz w:val="32"/>
          <w:szCs w:val="32"/>
        </w:rPr>
      </w:pPr>
    </w:p>
    <w:p w14:paraId="7528EC7C" w14:textId="77777777" w:rsidR="007E2797" w:rsidRPr="004B77D6" w:rsidRDefault="007E2797" w:rsidP="007E2797">
      <w:pPr>
        <w:rPr>
          <w:rFonts w:ascii="Calibri" w:hAnsi="Calibri"/>
          <w:sz w:val="32"/>
          <w:szCs w:val="32"/>
        </w:rPr>
      </w:pPr>
    </w:p>
    <w:p w14:paraId="3E054449" w14:textId="77777777" w:rsidR="007E2797" w:rsidRPr="004B77D6" w:rsidRDefault="007E2797" w:rsidP="007E2797">
      <w:pPr>
        <w:rPr>
          <w:rFonts w:ascii="Calibri" w:hAnsi="Calibri"/>
          <w:sz w:val="32"/>
          <w:szCs w:val="32"/>
        </w:rPr>
      </w:pPr>
    </w:p>
    <w:p w14:paraId="6B198C71" w14:textId="77777777" w:rsidR="007E2797" w:rsidRPr="004B77D6" w:rsidRDefault="007E2797" w:rsidP="007E2797">
      <w:pPr>
        <w:rPr>
          <w:rFonts w:ascii="Calibri" w:hAnsi="Calibri"/>
          <w:sz w:val="32"/>
          <w:szCs w:val="32"/>
        </w:rPr>
      </w:pPr>
    </w:p>
    <w:p w14:paraId="4E2DC8C8" w14:textId="77777777" w:rsidR="007E2797" w:rsidRPr="004B77D6" w:rsidRDefault="007E2797" w:rsidP="007E2797">
      <w:pPr>
        <w:rPr>
          <w:rFonts w:ascii="Calibri" w:hAnsi="Calibri"/>
          <w:sz w:val="32"/>
          <w:szCs w:val="32"/>
        </w:rPr>
      </w:pPr>
    </w:p>
    <w:p w14:paraId="6DDC32E0" w14:textId="77777777" w:rsidR="002743D4" w:rsidRPr="004B77D6" w:rsidRDefault="002743D4" w:rsidP="007E2797">
      <w:pPr>
        <w:rPr>
          <w:rFonts w:ascii="Calibri" w:hAnsi="Calibri"/>
          <w:sz w:val="32"/>
          <w:szCs w:val="32"/>
        </w:rPr>
      </w:pPr>
    </w:p>
    <w:p w14:paraId="3398AA58" w14:textId="77777777" w:rsidR="002743D4" w:rsidRPr="004B77D6" w:rsidRDefault="002743D4" w:rsidP="007E2797">
      <w:pPr>
        <w:rPr>
          <w:rFonts w:ascii="Calibri" w:hAnsi="Calibri"/>
          <w:sz w:val="32"/>
          <w:szCs w:val="32"/>
        </w:rPr>
      </w:pPr>
    </w:p>
    <w:p w14:paraId="4D7C72B4" w14:textId="77777777" w:rsidR="007E2797" w:rsidRPr="004B77D6" w:rsidRDefault="007E2797" w:rsidP="007E2797">
      <w:pPr>
        <w:rPr>
          <w:rFonts w:ascii="Calibri" w:hAnsi="Calibri"/>
          <w:b/>
          <w:color w:val="000000"/>
          <w:sz w:val="32"/>
          <w:szCs w:val="32"/>
        </w:rPr>
      </w:pPr>
      <w:r w:rsidRPr="004B77D6">
        <w:rPr>
          <w:rFonts w:ascii="Calibri" w:hAnsi="Calibri"/>
          <w:b/>
          <w:color w:val="000000"/>
          <w:sz w:val="32"/>
          <w:szCs w:val="32"/>
        </w:rPr>
        <w:t>Wersja nr 1</w:t>
      </w:r>
    </w:p>
    <w:p w14:paraId="262678F6" w14:textId="7F513286" w:rsidR="008B11D1" w:rsidRPr="004B77D6" w:rsidRDefault="007E2797" w:rsidP="00FD7AA5">
      <w:pPr>
        <w:rPr>
          <w:rFonts w:ascii="Calibri" w:hAnsi="Calibri"/>
          <w:b/>
          <w:color w:val="000000"/>
          <w:sz w:val="32"/>
          <w:szCs w:val="32"/>
        </w:rPr>
      </w:pPr>
      <w:r w:rsidRPr="004B77D6">
        <w:rPr>
          <w:rFonts w:ascii="Calibri" w:hAnsi="Calibri"/>
          <w:b/>
          <w:color w:val="000000"/>
          <w:sz w:val="32"/>
          <w:szCs w:val="32"/>
        </w:rPr>
        <w:t xml:space="preserve">Opole, </w:t>
      </w:r>
      <w:r w:rsidR="00B04115">
        <w:rPr>
          <w:rFonts w:ascii="Calibri" w:hAnsi="Calibri"/>
          <w:b/>
          <w:sz w:val="32"/>
          <w:szCs w:val="32"/>
        </w:rPr>
        <w:t>grudzień</w:t>
      </w:r>
      <w:r w:rsidR="00B04115" w:rsidRPr="00196CDC">
        <w:rPr>
          <w:rFonts w:ascii="Calibri" w:hAnsi="Calibri"/>
          <w:b/>
          <w:sz w:val="32"/>
          <w:szCs w:val="32"/>
        </w:rPr>
        <w:t xml:space="preserve"> </w:t>
      </w:r>
      <w:r w:rsidR="00CF5391" w:rsidRPr="00CF5391">
        <w:rPr>
          <w:rFonts w:ascii="Calibri" w:hAnsi="Calibri"/>
          <w:b/>
          <w:color w:val="000000"/>
          <w:sz w:val="32"/>
          <w:szCs w:val="32"/>
        </w:rPr>
        <w:t>2024 r.</w:t>
      </w:r>
    </w:p>
    <w:p w14:paraId="2CFB42FF" w14:textId="77777777" w:rsidR="00BC0C85" w:rsidRPr="004B77D6" w:rsidRDefault="00A06439" w:rsidP="0071603D">
      <w:pPr>
        <w:spacing w:after="120" w:line="276" w:lineRule="auto"/>
        <w:rPr>
          <w:rFonts w:asciiTheme="minorHAnsi" w:hAnsiTheme="minorHAnsi" w:cstheme="minorHAnsi"/>
          <w:szCs w:val="24"/>
        </w:rPr>
      </w:pPr>
      <w:r w:rsidRPr="004B77D6">
        <w:rPr>
          <w:rFonts w:asciiTheme="minorHAnsi" w:hAnsiTheme="minorHAnsi" w:cstheme="minorHAnsi"/>
          <w:szCs w:val="24"/>
        </w:rPr>
        <w:lastRenderedPageBreak/>
        <w:t xml:space="preserve">Integralną częścią wniosku o dofinansowanie realizacji projektu ze środków EFRR </w:t>
      </w:r>
      <w:r w:rsidR="00664D5C" w:rsidRPr="004B77D6">
        <w:rPr>
          <w:rFonts w:asciiTheme="minorHAnsi" w:hAnsiTheme="minorHAnsi" w:cstheme="minorHAnsi"/>
          <w:szCs w:val="24"/>
        </w:rPr>
        <w:t xml:space="preserve"> </w:t>
      </w:r>
      <w:r w:rsidRPr="004B77D6">
        <w:rPr>
          <w:rFonts w:asciiTheme="minorHAnsi" w:hAnsiTheme="minorHAnsi" w:cstheme="minorHAnsi"/>
          <w:szCs w:val="24"/>
        </w:rPr>
        <w:t xml:space="preserve">w ramach </w:t>
      </w:r>
      <w:r w:rsidR="00664D5C" w:rsidRPr="004B77D6">
        <w:rPr>
          <w:rFonts w:asciiTheme="minorHAnsi" w:hAnsiTheme="minorHAnsi" w:cstheme="minorHAnsi"/>
          <w:szCs w:val="24"/>
        </w:rPr>
        <w:t>FEO 2021-2027</w:t>
      </w:r>
      <w:r w:rsidRPr="004B77D6">
        <w:rPr>
          <w:rFonts w:asciiTheme="minorHAnsi" w:hAnsiTheme="minorHAnsi" w:cstheme="minorHAnsi"/>
          <w:szCs w:val="24"/>
        </w:rPr>
        <w:t xml:space="preserve"> są załączniki, które służą do uzupełniania, u</w:t>
      </w:r>
      <w:r w:rsidR="00664D5C" w:rsidRPr="004B77D6">
        <w:rPr>
          <w:rFonts w:asciiTheme="minorHAnsi" w:hAnsiTheme="minorHAnsi" w:cstheme="minorHAnsi"/>
          <w:szCs w:val="24"/>
        </w:rPr>
        <w:t xml:space="preserve">wiarygodniania bądź weryfikacji </w:t>
      </w:r>
      <w:r w:rsidRPr="004B77D6">
        <w:rPr>
          <w:rFonts w:asciiTheme="minorHAnsi" w:hAnsiTheme="minorHAnsi" w:cstheme="minorHAnsi"/>
          <w:szCs w:val="24"/>
        </w:rPr>
        <w:t>danych opisywanych we wniosku</w:t>
      </w:r>
      <w:r w:rsidR="007F2699" w:rsidRPr="004B77D6">
        <w:rPr>
          <w:rFonts w:asciiTheme="minorHAnsi" w:hAnsiTheme="minorHAnsi" w:cstheme="minorHAnsi"/>
          <w:szCs w:val="24"/>
        </w:rPr>
        <w:t xml:space="preserve"> o dofinansowanie</w:t>
      </w:r>
      <w:r w:rsidRPr="004B77D6">
        <w:rPr>
          <w:rFonts w:asciiTheme="minorHAnsi" w:hAnsiTheme="minorHAnsi" w:cstheme="minorHAnsi"/>
          <w:szCs w:val="24"/>
        </w:rPr>
        <w:t>.</w:t>
      </w:r>
    </w:p>
    <w:tbl>
      <w:tblPr>
        <w:tblStyle w:val="Tabela-Siatka"/>
        <w:tblW w:w="0" w:type="auto"/>
        <w:tblLook w:val="04A0" w:firstRow="1" w:lastRow="0" w:firstColumn="1" w:lastColumn="0" w:noHBand="0" w:noVBand="1"/>
      </w:tblPr>
      <w:tblGrid>
        <w:gridCol w:w="9040"/>
      </w:tblGrid>
      <w:tr w:rsidR="00CF5A4B" w14:paraId="74C0E3B0" w14:textId="77777777" w:rsidTr="00CF5A4B">
        <w:tc>
          <w:tcPr>
            <w:tcW w:w="9060" w:type="dxa"/>
            <w:tcBorders>
              <w:top w:val="single" w:sz="12" w:space="0" w:color="FF0000"/>
              <w:left w:val="single" w:sz="12" w:space="0" w:color="FF0000"/>
              <w:bottom w:val="single" w:sz="12" w:space="0" w:color="FF0000"/>
              <w:right w:val="single" w:sz="12" w:space="0" w:color="FF0000"/>
            </w:tcBorders>
          </w:tcPr>
          <w:p w14:paraId="44386F07" w14:textId="77777777" w:rsidR="00CF5A4B" w:rsidRDefault="00CF5A4B" w:rsidP="00CF5A4B">
            <w:pPr>
              <w:spacing w:after="120" w:line="276" w:lineRule="auto"/>
              <w:rPr>
                <w:rFonts w:asciiTheme="minorHAnsi" w:hAnsiTheme="minorHAnsi" w:cstheme="minorHAnsi"/>
                <w:b/>
                <w:bCs/>
                <w:szCs w:val="24"/>
              </w:rPr>
            </w:pPr>
            <w:r>
              <w:rPr>
                <w:rFonts w:asciiTheme="minorHAnsi" w:hAnsiTheme="minorHAnsi" w:cstheme="minorHAnsi"/>
                <w:b/>
                <w:bCs/>
                <w:szCs w:val="24"/>
              </w:rPr>
              <w:t>Uwaga!</w:t>
            </w:r>
          </w:p>
          <w:p w14:paraId="66E4DB60" w14:textId="44083304" w:rsidR="00CF5A4B" w:rsidRDefault="00CF5A4B" w:rsidP="00CF5A4B">
            <w:pPr>
              <w:spacing w:after="120" w:line="276" w:lineRule="auto"/>
              <w:rPr>
                <w:rFonts w:asciiTheme="minorHAnsi" w:hAnsiTheme="minorHAnsi" w:cstheme="minorHAnsi"/>
                <w:szCs w:val="24"/>
              </w:rPr>
            </w:pPr>
            <w:r w:rsidRPr="001317D3">
              <w:rPr>
                <w:rFonts w:asciiTheme="minorHAnsi" w:hAnsiTheme="minorHAnsi" w:cstheme="minorHAnsi"/>
                <w:b/>
                <w:bCs/>
                <w:szCs w:val="24"/>
              </w:rPr>
              <w:t>Każdy załącznik do wniosku</w:t>
            </w:r>
            <w:r>
              <w:rPr>
                <w:rFonts w:asciiTheme="minorHAnsi" w:hAnsiTheme="minorHAnsi" w:cstheme="minorHAnsi"/>
                <w:b/>
                <w:bCs/>
                <w:szCs w:val="24"/>
              </w:rPr>
              <w:t xml:space="preserve"> o dofinansowanie</w:t>
            </w:r>
            <w:r w:rsidRPr="001317D3">
              <w:rPr>
                <w:rFonts w:asciiTheme="minorHAnsi" w:hAnsiTheme="minorHAnsi" w:cstheme="minorHAnsi"/>
                <w:b/>
                <w:bCs/>
                <w:szCs w:val="24"/>
              </w:rPr>
              <w:t xml:space="preserve"> powinien być złożony w systemie jako oddzielny plik. Nie jest dopuszczalne składanie załączników w formacie spakowanej uwzględniającej kilka różnych załączników. Przy nazywaniu plików należy kierować się nazewnictwem </w:t>
            </w:r>
            <w:r>
              <w:rPr>
                <w:rFonts w:asciiTheme="minorHAnsi" w:hAnsiTheme="minorHAnsi" w:cstheme="minorHAnsi"/>
                <w:b/>
                <w:bCs/>
                <w:szCs w:val="24"/>
              </w:rPr>
              <w:t xml:space="preserve">z </w:t>
            </w:r>
            <w:r w:rsidRPr="001317D3">
              <w:rPr>
                <w:rFonts w:asciiTheme="minorHAnsi" w:hAnsiTheme="minorHAnsi" w:cstheme="minorHAnsi"/>
                <w:b/>
                <w:bCs/>
                <w:szCs w:val="24"/>
              </w:rPr>
              <w:t>poniższej instrukcji.</w:t>
            </w:r>
          </w:p>
        </w:tc>
      </w:tr>
    </w:tbl>
    <w:p w14:paraId="3B56CEE7" w14:textId="77777777" w:rsidR="00CF5A4B" w:rsidRDefault="00CF5A4B" w:rsidP="00DA68B2">
      <w:pPr>
        <w:spacing w:after="120" w:line="276" w:lineRule="auto"/>
        <w:rPr>
          <w:rFonts w:asciiTheme="minorHAnsi" w:hAnsiTheme="minorHAnsi" w:cstheme="minorHAnsi"/>
          <w:szCs w:val="24"/>
        </w:rPr>
      </w:pPr>
    </w:p>
    <w:p w14:paraId="3E45EB02" w14:textId="488BEED9" w:rsidR="00A06439" w:rsidRPr="004B77D6" w:rsidRDefault="00A06439" w:rsidP="00DA68B2">
      <w:pPr>
        <w:spacing w:after="120" w:line="276" w:lineRule="auto"/>
        <w:rPr>
          <w:rFonts w:asciiTheme="minorHAnsi" w:hAnsiTheme="minorHAnsi" w:cstheme="minorHAnsi"/>
          <w:b/>
          <w:szCs w:val="24"/>
        </w:rPr>
      </w:pPr>
      <w:r w:rsidRPr="004B77D6">
        <w:rPr>
          <w:rFonts w:asciiTheme="minorHAnsi" w:hAnsiTheme="minorHAnsi" w:cstheme="minorHAnsi"/>
          <w:szCs w:val="24"/>
        </w:rPr>
        <w:t xml:space="preserve">Wymaganymi załącznikami do wniosku </w:t>
      </w:r>
      <w:r w:rsidR="0001709E" w:rsidRPr="004B77D6">
        <w:rPr>
          <w:rFonts w:asciiTheme="minorHAnsi" w:hAnsiTheme="minorHAnsi" w:cstheme="minorHAnsi"/>
          <w:szCs w:val="24"/>
        </w:rPr>
        <w:t xml:space="preserve">o dofinansowanie </w:t>
      </w:r>
      <w:r w:rsidR="00551455" w:rsidRPr="004B77D6">
        <w:rPr>
          <w:rFonts w:asciiTheme="minorHAnsi" w:hAnsiTheme="minorHAnsi" w:cstheme="minorHAnsi"/>
          <w:szCs w:val="24"/>
        </w:rPr>
        <w:t xml:space="preserve">w ramach działania </w:t>
      </w:r>
      <w:r w:rsidR="00187F1C">
        <w:rPr>
          <w:rFonts w:asciiTheme="minorHAnsi" w:hAnsiTheme="minorHAnsi" w:cstheme="minorHAnsi"/>
          <w:szCs w:val="24"/>
        </w:rPr>
        <w:br/>
      </w:r>
      <w:r w:rsidR="00187F1C" w:rsidRPr="00187F1C">
        <w:rPr>
          <w:rFonts w:asciiTheme="minorHAnsi" w:hAnsiTheme="minorHAnsi" w:cstheme="minorHAnsi"/>
          <w:i/>
          <w:szCs w:val="24"/>
          <w:lang w:eastAsia="en-US"/>
        </w:rPr>
        <w:t>2.3</w:t>
      </w:r>
      <w:r w:rsidR="00187F1C" w:rsidRPr="00187F1C">
        <w:rPr>
          <w:i/>
          <w:szCs w:val="24"/>
        </w:rPr>
        <w:t xml:space="preserve"> </w:t>
      </w:r>
      <w:r w:rsidR="00187F1C" w:rsidRPr="00187F1C">
        <w:rPr>
          <w:rFonts w:asciiTheme="minorHAnsi" w:hAnsiTheme="minorHAnsi" w:cstheme="minorHAnsi"/>
          <w:i/>
          <w:szCs w:val="24"/>
          <w:lang w:eastAsia="en-US"/>
        </w:rPr>
        <w:t>Z</w:t>
      </w:r>
      <w:r w:rsidR="00187F1C" w:rsidRPr="00866E28">
        <w:rPr>
          <w:rFonts w:asciiTheme="minorHAnsi" w:hAnsiTheme="minorHAnsi" w:cstheme="minorHAnsi"/>
          <w:i/>
          <w:szCs w:val="24"/>
          <w:lang w:eastAsia="en-US"/>
        </w:rPr>
        <w:t>apobieganie zagrożeniom związanym ze zmianą klimatu FEO 2021 – 2027</w:t>
      </w:r>
      <w:r w:rsidR="00187F1C" w:rsidRPr="003C01E6">
        <w:rPr>
          <w:iCs/>
          <w:szCs w:val="24"/>
        </w:rPr>
        <w:t xml:space="preserve"> </w:t>
      </w:r>
      <w:r w:rsidRPr="004B77D6">
        <w:rPr>
          <w:rFonts w:asciiTheme="minorHAnsi" w:hAnsiTheme="minorHAnsi" w:cstheme="minorHAnsi"/>
          <w:szCs w:val="24"/>
        </w:rPr>
        <w:t>są:</w:t>
      </w:r>
    </w:p>
    <w:p w14:paraId="431117B1" w14:textId="1677873A" w:rsidR="00B453C0" w:rsidRDefault="00A06439">
      <w:pPr>
        <w:pStyle w:val="Spistreci3"/>
        <w:rPr>
          <w:rFonts w:asciiTheme="minorHAnsi" w:eastAsiaTheme="minorEastAsia" w:hAnsiTheme="minorHAnsi" w:cstheme="minorBidi"/>
          <w:b w:val="0"/>
          <w:kern w:val="2"/>
          <w:szCs w:val="24"/>
          <w14:ligatures w14:val="standardContextual"/>
        </w:rPr>
      </w:pPr>
      <w:r w:rsidRPr="005065C1">
        <w:rPr>
          <w:szCs w:val="24"/>
        </w:rPr>
        <w:fldChar w:fldCharType="begin"/>
      </w:r>
      <w:r w:rsidRPr="005065C1">
        <w:rPr>
          <w:szCs w:val="24"/>
        </w:rPr>
        <w:instrText xml:space="preserve"> TOC \o "1-3" \h \z \u </w:instrText>
      </w:r>
      <w:r w:rsidRPr="005065C1">
        <w:rPr>
          <w:szCs w:val="24"/>
        </w:rPr>
        <w:fldChar w:fldCharType="separate"/>
      </w:r>
      <w:hyperlink w:anchor="_Toc184900787" w:history="1">
        <w:r w:rsidR="00B453C0" w:rsidRPr="00191A4B">
          <w:rPr>
            <w:rStyle w:val="Hipercze"/>
          </w:rPr>
          <w:t>1.</w:t>
        </w:r>
        <w:r w:rsidR="00B453C0">
          <w:rPr>
            <w:rFonts w:asciiTheme="minorHAnsi" w:eastAsiaTheme="minorEastAsia" w:hAnsiTheme="minorHAnsi" w:cstheme="minorBidi"/>
            <w:b w:val="0"/>
            <w:kern w:val="2"/>
            <w:szCs w:val="24"/>
            <w14:ligatures w14:val="standardContextual"/>
          </w:rPr>
          <w:tab/>
        </w:r>
        <w:r w:rsidR="00B453C0" w:rsidRPr="00191A4B">
          <w:rPr>
            <w:rStyle w:val="Hipercze"/>
          </w:rPr>
          <w:t>STUDIUM WYKONALNOŚCI INWESTYCJI (SWI)</w:t>
        </w:r>
        <w:r w:rsidR="00B453C0">
          <w:rPr>
            <w:webHidden/>
          </w:rPr>
          <w:tab/>
        </w:r>
        <w:r w:rsidR="00B453C0">
          <w:rPr>
            <w:webHidden/>
          </w:rPr>
          <w:fldChar w:fldCharType="begin"/>
        </w:r>
        <w:r w:rsidR="00B453C0">
          <w:rPr>
            <w:webHidden/>
          </w:rPr>
          <w:instrText xml:space="preserve"> PAGEREF _Toc184900787 \h </w:instrText>
        </w:r>
        <w:r w:rsidR="00B453C0">
          <w:rPr>
            <w:webHidden/>
          </w:rPr>
        </w:r>
        <w:r w:rsidR="00B453C0">
          <w:rPr>
            <w:webHidden/>
          </w:rPr>
          <w:fldChar w:fldCharType="separate"/>
        </w:r>
        <w:r w:rsidR="00312A44">
          <w:rPr>
            <w:webHidden/>
          </w:rPr>
          <w:t>4</w:t>
        </w:r>
        <w:r w:rsidR="00B453C0">
          <w:rPr>
            <w:webHidden/>
          </w:rPr>
          <w:fldChar w:fldCharType="end"/>
        </w:r>
      </w:hyperlink>
    </w:p>
    <w:p w14:paraId="01C6B3BA" w14:textId="19AC7991"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88" w:history="1">
        <w:r w:rsidRPr="00191A4B">
          <w:rPr>
            <w:rStyle w:val="Hipercze"/>
            <w:rFonts w:ascii="Calibri" w:hAnsi="Calibri"/>
            <w:noProof/>
          </w:rPr>
          <w:t>1.1.1.</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SŁOWNIK POJĘĆ</w:t>
        </w:r>
        <w:r>
          <w:rPr>
            <w:noProof/>
            <w:webHidden/>
          </w:rPr>
          <w:tab/>
        </w:r>
        <w:r>
          <w:rPr>
            <w:noProof/>
            <w:webHidden/>
          </w:rPr>
          <w:fldChar w:fldCharType="begin"/>
        </w:r>
        <w:r>
          <w:rPr>
            <w:noProof/>
            <w:webHidden/>
          </w:rPr>
          <w:instrText xml:space="preserve"> PAGEREF _Toc184900788 \h </w:instrText>
        </w:r>
        <w:r>
          <w:rPr>
            <w:noProof/>
            <w:webHidden/>
          </w:rPr>
        </w:r>
        <w:r>
          <w:rPr>
            <w:noProof/>
            <w:webHidden/>
          </w:rPr>
          <w:fldChar w:fldCharType="separate"/>
        </w:r>
        <w:r w:rsidR="00312A44">
          <w:rPr>
            <w:noProof/>
            <w:webHidden/>
          </w:rPr>
          <w:t>5</w:t>
        </w:r>
        <w:r>
          <w:rPr>
            <w:noProof/>
            <w:webHidden/>
          </w:rPr>
          <w:fldChar w:fldCharType="end"/>
        </w:r>
      </w:hyperlink>
    </w:p>
    <w:p w14:paraId="3EE9928E" w14:textId="5AB39DCB"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89" w:history="1">
        <w:r w:rsidRPr="00191A4B">
          <w:rPr>
            <w:rStyle w:val="Hipercze"/>
            <w:rFonts w:ascii="Calibri" w:hAnsi="Calibri"/>
            <w:noProof/>
          </w:rPr>
          <w:t>1.1.2.</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WSTĘP</w:t>
        </w:r>
        <w:r>
          <w:rPr>
            <w:noProof/>
            <w:webHidden/>
          </w:rPr>
          <w:tab/>
        </w:r>
        <w:r>
          <w:rPr>
            <w:noProof/>
            <w:webHidden/>
          </w:rPr>
          <w:fldChar w:fldCharType="begin"/>
        </w:r>
        <w:r>
          <w:rPr>
            <w:noProof/>
            <w:webHidden/>
          </w:rPr>
          <w:instrText xml:space="preserve"> PAGEREF _Toc184900789 \h </w:instrText>
        </w:r>
        <w:r>
          <w:rPr>
            <w:noProof/>
            <w:webHidden/>
          </w:rPr>
        </w:r>
        <w:r>
          <w:rPr>
            <w:noProof/>
            <w:webHidden/>
          </w:rPr>
          <w:fldChar w:fldCharType="separate"/>
        </w:r>
        <w:r w:rsidR="00312A44">
          <w:rPr>
            <w:noProof/>
            <w:webHidden/>
          </w:rPr>
          <w:t>15</w:t>
        </w:r>
        <w:r>
          <w:rPr>
            <w:noProof/>
            <w:webHidden/>
          </w:rPr>
          <w:fldChar w:fldCharType="end"/>
        </w:r>
      </w:hyperlink>
    </w:p>
    <w:p w14:paraId="21A81CF8" w14:textId="5A538A4F"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0" w:history="1">
        <w:r w:rsidRPr="00191A4B">
          <w:rPr>
            <w:rStyle w:val="Hipercze"/>
            <w:rFonts w:ascii="Calibri" w:hAnsi="Calibri"/>
            <w:noProof/>
          </w:rPr>
          <w:t>1.1.3.</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IDENTYFIKACJA PROJEKTU</w:t>
        </w:r>
        <w:r>
          <w:rPr>
            <w:noProof/>
            <w:webHidden/>
          </w:rPr>
          <w:tab/>
        </w:r>
        <w:r>
          <w:rPr>
            <w:noProof/>
            <w:webHidden/>
          </w:rPr>
          <w:fldChar w:fldCharType="begin"/>
        </w:r>
        <w:r>
          <w:rPr>
            <w:noProof/>
            <w:webHidden/>
          </w:rPr>
          <w:instrText xml:space="preserve"> PAGEREF _Toc184900790 \h </w:instrText>
        </w:r>
        <w:r>
          <w:rPr>
            <w:noProof/>
            <w:webHidden/>
          </w:rPr>
        </w:r>
        <w:r>
          <w:rPr>
            <w:noProof/>
            <w:webHidden/>
          </w:rPr>
          <w:fldChar w:fldCharType="separate"/>
        </w:r>
        <w:r w:rsidR="00312A44">
          <w:rPr>
            <w:noProof/>
            <w:webHidden/>
          </w:rPr>
          <w:t>16</w:t>
        </w:r>
        <w:r>
          <w:rPr>
            <w:noProof/>
            <w:webHidden/>
          </w:rPr>
          <w:fldChar w:fldCharType="end"/>
        </w:r>
      </w:hyperlink>
    </w:p>
    <w:p w14:paraId="496C163B" w14:textId="300B37C2"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1" w:history="1">
        <w:r w:rsidRPr="00191A4B">
          <w:rPr>
            <w:rStyle w:val="Hipercze"/>
            <w:rFonts w:ascii="Calibri" w:hAnsi="Calibri"/>
            <w:noProof/>
          </w:rPr>
          <w:t>1.1.4.</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DEFINICJA CELÓW PROJEKTU</w:t>
        </w:r>
        <w:r>
          <w:rPr>
            <w:noProof/>
            <w:webHidden/>
          </w:rPr>
          <w:tab/>
        </w:r>
        <w:r>
          <w:rPr>
            <w:noProof/>
            <w:webHidden/>
          </w:rPr>
          <w:fldChar w:fldCharType="begin"/>
        </w:r>
        <w:r>
          <w:rPr>
            <w:noProof/>
            <w:webHidden/>
          </w:rPr>
          <w:instrText xml:space="preserve"> PAGEREF _Toc184900791 \h </w:instrText>
        </w:r>
        <w:r>
          <w:rPr>
            <w:noProof/>
            <w:webHidden/>
          </w:rPr>
        </w:r>
        <w:r>
          <w:rPr>
            <w:noProof/>
            <w:webHidden/>
          </w:rPr>
          <w:fldChar w:fldCharType="separate"/>
        </w:r>
        <w:r w:rsidR="00312A44">
          <w:rPr>
            <w:noProof/>
            <w:webHidden/>
          </w:rPr>
          <w:t>16</w:t>
        </w:r>
        <w:r>
          <w:rPr>
            <w:noProof/>
            <w:webHidden/>
          </w:rPr>
          <w:fldChar w:fldCharType="end"/>
        </w:r>
      </w:hyperlink>
    </w:p>
    <w:p w14:paraId="529DC1DB" w14:textId="386966C4"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2" w:history="1">
        <w:r w:rsidRPr="00191A4B">
          <w:rPr>
            <w:rStyle w:val="Hipercze"/>
            <w:rFonts w:ascii="Calibri" w:hAnsi="Calibri"/>
            <w:noProof/>
          </w:rPr>
          <w:t>1.1.5.</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ANALIZA INSTYTUCJONALNA I WYKONALNOŚCI PROJEKTU</w:t>
        </w:r>
        <w:r>
          <w:rPr>
            <w:noProof/>
            <w:webHidden/>
          </w:rPr>
          <w:tab/>
        </w:r>
        <w:r>
          <w:rPr>
            <w:noProof/>
            <w:webHidden/>
          </w:rPr>
          <w:fldChar w:fldCharType="begin"/>
        </w:r>
        <w:r>
          <w:rPr>
            <w:noProof/>
            <w:webHidden/>
          </w:rPr>
          <w:instrText xml:space="preserve"> PAGEREF _Toc184900792 \h </w:instrText>
        </w:r>
        <w:r>
          <w:rPr>
            <w:noProof/>
            <w:webHidden/>
          </w:rPr>
        </w:r>
        <w:r>
          <w:rPr>
            <w:noProof/>
            <w:webHidden/>
          </w:rPr>
          <w:fldChar w:fldCharType="separate"/>
        </w:r>
        <w:r w:rsidR="00312A44">
          <w:rPr>
            <w:noProof/>
            <w:webHidden/>
          </w:rPr>
          <w:t>17</w:t>
        </w:r>
        <w:r>
          <w:rPr>
            <w:noProof/>
            <w:webHidden/>
          </w:rPr>
          <w:fldChar w:fldCharType="end"/>
        </w:r>
      </w:hyperlink>
    </w:p>
    <w:p w14:paraId="0922C208" w14:textId="73885B8D"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3" w:history="1">
        <w:r w:rsidRPr="00191A4B">
          <w:rPr>
            <w:rStyle w:val="Hipercze"/>
            <w:rFonts w:ascii="Calibri" w:hAnsi="Calibri"/>
            <w:noProof/>
          </w:rPr>
          <w:t>1.1.6.</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ANALIZA POPYTU ORAZ OPCJI</w:t>
        </w:r>
        <w:r>
          <w:rPr>
            <w:noProof/>
            <w:webHidden/>
          </w:rPr>
          <w:tab/>
        </w:r>
        <w:r>
          <w:rPr>
            <w:noProof/>
            <w:webHidden/>
          </w:rPr>
          <w:fldChar w:fldCharType="begin"/>
        </w:r>
        <w:r>
          <w:rPr>
            <w:noProof/>
            <w:webHidden/>
          </w:rPr>
          <w:instrText xml:space="preserve"> PAGEREF _Toc184900793 \h </w:instrText>
        </w:r>
        <w:r>
          <w:rPr>
            <w:noProof/>
            <w:webHidden/>
          </w:rPr>
        </w:r>
        <w:r>
          <w:rPr>
            <w:noProof/>
            <w:webHidden/>
          </w:rPr>
          <w:fldChar w:fldCharType="separate"/>
        </w:r>
        <w:r w:rsidR="00312A44">
          <w:rPr>
            <w:noProof/>
            <w:webHidden/>
          </w:rPr>
          <w:t>20</w:t>
        </w:r>
        <w:r>
          <w:rPr>
            <w:noProof/>
            <w:webHidden/>
          </w:rPr>
          <w:fldChar w:fldCharType="end"/>
        </w:r>
      </w:hyperlink>
    </w:p>
    <w:p w14:paraId="157A6DB9" w14:textId="4E1D71F7"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4" w:history="1">
        <w:r w:rsidRPr="00191A4B">
          <w:rPr>
            <w:rStyle w:val="Hipercze"/>
            <w:rFonts w:ascii="Calibri" w:hAnsi="Calibri"/>
            <w:noProof/>
          </w:rPr>
          <w:t>1.1.7.</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ZASTOSOWANE UPROSZCZONE METODY ROZLICZANIA WYDATKÓW</w:t>
        </w:r>
        <w:r>
          <w:rPr>
            <w:noProof/>
            <w:webHidden/>
          </w:rPr>
          <w:tab/>
        </w:r>
        <w:r>
          <w:rPr>
            <w:noProof/>
            <w:webHidden/>
          </w:rPr>
          <w:fldChar w:fldCharType="begin"/>
        </w:r>
        <w:r>
          <w:rPr>
            <w:noProof/>
            <w:webHidden/>
          </w:rPr>
          <w:instrText xml:space="preserve"> PAGEREF _Toc184900794 \h </w:instrText>
        </w:r>
        <w:r>
          <w:rPr>
            <w:noProof/>
            <w:webHidden/>
          </w:rPr>
        </w:r>
        <w:r>
          <w:rPr>
            <w:noProof/>
            <w:webHidden/>
          </w:rPr>
          <w:fldChar w:fldCharType="separate"/>
        </w:r>
        <w:r w:rsidR="00312A44">
          <w:rPr>
            <w:noProof/>
            <w:webHidden/>
          </w:rPr>
          <w:t>21</w:t>
        </w:r>
        <w:r>
          <w:rPr>
            <w:noProof/>
            <w:webHidden/>
          </w:rPr>
          <w:fldChar w:fldCharType="end"/>
        </w:r>
      </w:hyperlink>
    </w:p>
    <w:p w14:paraId="14D00A42" w14:textId="46F42E0B"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5" w:history="1">
        <w:r w:rsidRPr="00191A4B">
          <w:rPr>
            <w:rStyle w:val="Hipercze"/>
            <w:rFonts w:ascii="Calibri" w:hAnsi="Calibri"/>
            <w:noProof/>
          </w:rPr>
          <w:t>1.1.8.</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ANALIZA FINANSOWA</w:t>
        </w:r>
        <w:r>
          <w:rPr>
            <w:noProof/>
            <w:webHidden/>
          </w:rPr>
          <w:tab/>
        </w:r>
        <w:r>
          <w:rPr>
            <w:noProof/>
            <w:webHidden/>
          </w:rPr>
          <w:fldChar w:fldCharType="begin"/>
        </w:r>
        <w:r>
          <w:rPr>
            <w:noProof/>
            <w:webHidden/>
          </w:rPr>
          <w:instrText xml:space="preserve"> PAGEREF _Toc184900795 \h </w:instrText>
        </w:r>
        <w:r>
          <w:rPr>
            <w:noProof/>
            <w:webHidden/>
          </w:rPr>
        </w:r>
        <w:r>
          <w:rPr>
            <w:noProof/>
            <w:webHidden/>
          </w:rPr>
          <w:fldChar w:fldCharType="separate"/>
        </w:r>
        <w:r w:rsidR="00312A44">
          <w:rPr>
            <w:noProof/>
            <w:webHidden/>
          </w:rPr>
          <w:t>21</w:t>
        </w:r>
        <w:r>
          <w:rPr>
            <w:noProof/>
            <w:webHidden/>
          </w:rPr>
          <w:fldChar w:fldCharType="end"/>
        </w:r>
      </w:hyperlink>
    </w:p>
    <w:p w14:paraId="0C26345C" w14:textId="63388D14"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6" w:history="1">
        <w:r w:rsidRPr="00191A4B">
          <w:rPr>
            <w:rStyle w:val="Hipercze"/>
            <w:rFonts w:ascii="Calibri" w:hAnsi="Calibri"/>
            <w:noProof/>
          </w:rPr>
          <w:t>1.1.9.</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ANALIZA KOSZTÓW I KORZYŚCI</w:t>
        </w:r>
        <w:r>
          <w:rPr>
            <w:noProof/>
            <w:webHidden/>
          </w:rPr>
          <w:tab/>
        </w:r>
        <w:r>
          <w:rPr>
            <w:noProof/>
            <w:webHidden/>
          </w:rPr>
          <w:fldChar w:fldCharType="begin"/>
        </w:r>
        <w:r>
          <w:rPr>
            <w:noProof/>
            <w:webHidden/>
          </w:rPr>
          <w:instrText xml:space="preserve"> PAGEREF _Toc184900796 \h </w:instrText>
        </w:r>
        <w:r>
          <w:rPr>
            <w:noProof/>
            <w:webHidden/>
          </w:rPr>
        </w:r>
        <w:r>
          <w:rPr>
            <w:noProof/>
            <w:webHidden/>
          </w:rPr>
          <w:fldChar w:fldCharType="separate"/>
        </w:r>
        <w:r w:rsidR="00312A44">
          <w:rPr>
            <w:noProof/>
            <w:webHidden/>
          </w:rPr>
          <w:t>34</w:t>
        </w:r>
        <w:r>
          <w:rPr>
            <w:noProof/>
            <w:webHidden/>
          </w:rPr>
          <w:fldChar w:fldCharType="end"/>
        </w:r>
      </w:hyperlink>
    </w:p>
    <w:p w14:paraId="30B3719C" w14:textId="25997B32"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7" w:history="1">
        <w:r w:rsidRPr="00191A4B">
          <w:rPr>
            <w:rStyle w:val="Hipercze"/>
            <w:rFonts w:ascii="Calibri" w:hAnsi="Calibri"/>
            <w:noProof/>
          </w:rPr>
          <w:t>1.1.10.</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ANALIZA RYZYKA I WRAŻLIWOŚCI:</w:t>
        </w:r>
        <w:r>
          <w:rPr>
            <w:noProof/>
            <w:webHidden/>
          </w:rPr>
          <w:tab/>
        </w:r>
        <w:r>
          <w:rPr>
            <w:noProof/>
            <w:webHidden/>
          </w:rPr>
          <w:fldChar w:fldCharType="begin"/>
        </w:r>
        <w:r>
          <w:rPr>
            <w:noProof/>
            <w:webHidden/>
          </w:rPr>
          <w:instrText xml:space="preserve"> PAGEREF _Toc184900797 \h </w:instrText>
        </w:r>
        <w:r>
          <w:rPr>
            <w:noProof/>
            <w:webHidden/>
          </w:rPr>
        </w:r>
        <w:r>
          <w:rPr>
            <w:noProof/>
            <w:webHidden/>
          </w:rPr>
          <w:fldChar w:fldCharType="separate"/>
        </w:r>
        <w:r w:rsidR="00312A44">
          <w:rPr>
            <w:noProof/>
            <w:webHidden/>
          </w:rPr>
          <w:t>38</w:t>
        </w:r>
        <w:r>
          <w:rPr>
            <w:noProof/>
            <w:webHidden/>
          </w:rPr>
          <w:fldChar w:fldCharType="end"/>
        </w:r>
      </w:hyperlink>
    </w:p>
    <w:p w14:paraId="6F1A2C62" w14:textId="0F927165"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8" w:history="1">
        <w:r w:rsidRPr="00191A4B">
          <w:rPr>
            <w:rStyle w:val="Hipercze"/>
            <w:rFonts w:ascii="Calibri" w:hAnsi="Calibri"/>
            <w:noProof/>
          </w:rPr>
          <w:t>1.1.11.</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STOSOWANIE PODEJŚCIA SZCZEGÓŁOWEGO</w:t>
        </w:r>
        <w:r>
          <w:rPr>
            <w:noProof/>
            <w:webHidden/>
          </w:rPr>
          <w:tab/>
        </w:r>
        <w:r>
          <w:rPr>
            <w:noProof/>
            <w:webHidden/>
          </w:rPr>
          <w:fldChar w:fldCharType="begin"/>
        </w:r>
        <w:r>
          <w:rPr>
            <w:noProof/>
            <w:webHidden/>
          </w:rPr>
          <w:instrText xml:space="preserve"> PAGEREF _Toc184900798 \h </w:instrText>
        </w:r>
        <w:r>
          <w:rPr>
            <w:noProof/>
            <w:webHidden/>
          </w:rPr>
        </w:r>
        <w:r>
          <w:rPr>
            <w:noProof/>
            <w:webHidden/>
          </w:rPr>
          <w:fldChar w:fldCharType="separate"/>
        </w:r>
        <w:r w:rsidR="00312A44">
          <w:rPr>
            <w:noProof/>
            <w:webHidden/>
          </w:rPr>
          <w:t>40</w:t>
        </w:r>
        <w:r>
          <w:rPr>
            <w:noProof/>
            <w:webHidden/>
          </w:rPr>
          <w:fldChar w:fldCharType="end"/>
        </w:r>
      </w:hyperlink>
    </w:p>
    <w:p w14:paraId="5A25AD14" w14:textId="3BDA601D" w:rsidR="00B453C0" w:rsidRDefault="00B453C0">
      <w:pPr>
        <w:pStyle w:val="Spistreci1"/>
        <w:rPr>
          <w:rFonts w:asciiTheme="minorHAnsi" w:eastAsiaTheme="minorEastAsia" w:hAnsiTheme="minorHAnsi" w:cstheme="minorBidi"/>
          <w:noProof/>
          <w:kern w:val="2"/>
          <w:szCs w:val="24"/>
          <w14:ligatures w14:val="standardContextual"/>
        </w:rPr>
      </w:pPr>
      <w:hyperlink w:anchor="_Toc184900799" w:history="1">
        <w:r w:rsidRPr="00191A4B">
          <w:rPr>
            <w:rStyle w:val="Hipercze"/>
            <w:rFonts w:ascii="Calibri" w:hAnsi="Calibri"/>
            <w:noProof/>
          </w:rPr>
          <w:t>1.1.12.</w:t>
        </w:r>
        <w:r>
          <w:rPr>
            <w:rFonts w:asciiTheme="minorHAnsi" w:eastAsiaTheme="minorEastAsia" w:hAnsiTheme="minorHAnsi" w:cstheme="minorBidi"/>
            <w:noProof/>
            <w:kern w:val="2"/>
            <w:szCs w:val="24"/>
            <w14:ligatures w14:val="standardContextual"/>
          </w:rPr>
          <w:tab/>
        </w:r>
        <w:r w:rsidRPr="00191A4B">
          <w:rPr>
            <w:rStyle w:val="Hipercze"/>
            <w:rFonts w:ascii="Calibri" w:hAnsi="Calibri"/>
            <w:noProof/>
          </w:rPr>
          <w:t>SPECYFICZNE ANALIZY DLA DANEGO RODZAJU PROJEKTU/SEKTORA</w:t>
        </w:r>
        <w:r>
          <w:rPr>
            <w:noProof/>
            <w:webHidden/>
          </w:rPr>
          <w:tab/>
        </w:r>
        <w:r>
          <w:rPr>
            <w:noProof/>
            <w:webHidden/>
          </w:rPr>
          <w:fldChar w:fldCharType="begin"/>
        </w:r>
        <w:r>
          <w:rPr>
            <w:noProof/>
            <w:webHidden/>
          </w:rPr>
          <w:instrText xml:space="preserve"> PAGEREF _Toc184900799 \h </w:instrText>
        </w:r>
        <w:r>
          <w:rPr>
            <w:noProof/>
            <w:webHidden/>
          </w:rPr>
        </w:r>
        <w:r>
          <w:rPr>
            <w:noProof/>
            <w:webHidden/>
          </w:rPr>
          <w:fldChar w:fldCharType="separate"/>
        </w:r>
        <w:r w:rsidR="00312A44">
          <w:rPr>
            <w:noProof/>
            <w:webHidden/>
          </w:rPr>
          <w:t>40</w:t>
        </w:r>
        <w:r>
          <w:rPr>
            <w:noProof/>
            <w:webHidden/>
          </w:rPr>
          <w:fldChar w:fldCharType="end"/>
        </w:r>
      </w:hyperlink>
    </w:p>
    <w:p w14:paraId="726DAD4E" w14:textId="541637F4" w:rsidR="00B453C0" w:rsidRDefault="00B453C0">
      <w:pPr>
        <w:pStyle w:val="Spistreci1"/>
        <w:rPr>
          <w:rFonts w:asciiTheme="minorHAnsi" w:eastAsiaTheme="minorEastAsia" w:hAnsiTheme="minorHAnsi" w:cstheme="minorBidi"/>
          <w:noProof/>
          <w:kern w:val="2"/>
          <w:szCs w:val="24"/>
          <w14:ligatures w14:val="standardContextual"/>
        </w:rPr>
      </w:pPr>
      <w:hyperlink w:anchor="_Toc184900800" w:history="1">
        <w:r w:rsidRPr="00191A4B">
          <w:rPr>
            <w:rStyle w:val="Hipercze"/>
            <w:rFonts w:cstheme="minorHAnsi"/>
            <w:noProof/>
          </w:rPr>
          <w:t>1.1.13. ODNIESIENIE DO KRYTERIÓW WYBORU PROJEKTU</w:t>
        </w:r>
        <w:r>
          <w:rPr>
            <w:noProof/>
            <w:webHidden/>
          </w:rPr>
          <w:tab/>
        </w:r>
        <w:r>
          <w:rPr>
            <w:noProof/>
            <w:webHidden/>
          </w:rPr>
          <w:fldChar w:fldCharType="begin"/>
        </w:r>
        <w:r>
          <w:rPr>
            <w:noProof/>
            <w:webHidden/>
          </w:rPr>
          <w:instrText xml:space="preserve"> PAGEREF _Toc184900800 \h </w:instrText>
        </w:r>
        <w:r>
          <w:rPr>
            <w:noProof/>
            <w:webHidden/>
          </w:rPr>
        </w:r>
        <w:r>
          <w:rPr>
            <w:noProof/>
            <w:webHidden/>
          </w:rPr>
          <w:fldChar w:fldCharType="separate"/>
        </w:r>
        <w:r w:rsidR="00312A44">
          <w:rPr>
            <w:noProof/>
            <w:webHidden/>
          </w:rPr>
          <w:t>40</w:t>
        </w:r>
        <w:r>
          <w:rPr>
            <w:noProof/>
            <w:webHidden/>
          </w:rPr>
          <w:fldChar w:fldCharType="end"/>
        </w:r>
      </w:hyperlink>
    </w:p>
    <w:p w14:paraId="749E8FC1" w14:textId="45D55D20"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1" w:history="1">
        <w:r w:rsidRPr="00191A4B">
          <w:rPr>
            <w:rStyle w:val="Hipercze"/>
            <w:bCs/>
            <w:lang w:val="x-none"/>
          </w:rPr>
          <w:t>2.</w:t>
        </w:r>
        <w:r>
          <w:rPr>
            <w:rFonts w:asciiTheme="minorHAnsi" w:eastAsiaTheme="minorEastAsia" w:hAnsiTheme="minorHAnsi" w:cstheme="minorBidi"/>
            <w:b w:val="0"/>
            <w:kern w:val="2"/>
            <w:szCs w:val="24"/>
            <w14:ligatures w14:val="standardContextual"/>
          </w:rPr>
          <w:tab/>
        </w:r>
        <w:r w:rsidRPr="00191A4B">
          <w:rPr>
            <w:rStyle w:val="Hipercze"/>
            <w:bCs/>
            <w:lang w:val="x-none"/>
          </w:rPr>
          <w:t>FORMULARZ W ZAKRESIE OCENY ODDZIAŁYWANIA NA ŚRODOWISKO</w:t>
        </w:r>
        <w:r>
          <w:rPr>
            <w:webHidden/>
          </w:rPr>
          <w:tab/>
        </w:r>
        <w:r>
          <w:rPr>
            <w:webHidden/>
          </w:rPr>
          <w:fldChar w:fldCharType="begin"/>
        </w:r>
        <w:r>
          <w:rPr>
            <w:webHidden/>
          </w:rPr>
          <w:instrText xml:space="preserve"> PAGEREF _Toc184900801 \h </w:instrText>
        </w:r>
        <w:r>
          <w:rPr>
            <w:webHidden/>
          </w:rPr>
        </w:r>
        <w:r>
          <w:rPr>
            <w:webHidden/>
          </w:rPr>
          <w:fldChar w:fldCharType="separate"/>
        </w:r>
        <w:r w:rsidR="00312A44">
          <w:rPr>
            <w:webHidden/>
          </w:rPr>
          <w:t>40</w:t>
        </w:r>
        <w:r>
          <w:rPr>
            <w:webHidden/>
          </w:rPr>
          <w:fldChar w:fldCharType="end"/>
        </w:r>
      </w:hyperlink>
    </w:p>
    <w:p w14:paraId="01FDDA39" w14:textId="4ADBAC6C"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2" w:history="1">
        <w:r w:rsidRPr="00191A4B">
          <w:rPr>
            <w:rStyle w:val="Hipercze"/>
            <w:bCs/>
          </w:rPr>
          <w:t>3.</w:t>
        </w:r>
        <w:r>
          <w:rPr>
            <w:rFonts w:asciiTheme="minorHAnsi" w:eastAsiaTheme="minorEastAsia" w:hAnsiTheme="minorHAnsi" w:cstheme="minorBidi"/>
            <w:b w:val="0"/>
            <w:kern w:val="2"/>
            <w:szCs w:val="24"/>
            <w14:ligatures w14:val="standardContextual"/>
          </w:rPr>
          <w:tab/>
        </w:r>
        <w:r w:rsidRPr="00191A4B">
          <w:rPr>
            <w:rStyle w:val="Hipercze"/>
            <w:bCs/>
          </w:rPr>
          <w:t>KOPIA POZWOLENIA NA BUDOWĘ, ZEZWOLENIA NA REALIZACJĘ INWESTYCJI DROGOWEJ BĄDŹ ZGŁOSZENIA BUDOWY LUB DOKUMENTY DOTYCZĄCE ZAGOSPODAROWANIA PRZESTRZENNEGO.</w:t>
        </w:r>
        <w:r>
          <w:rPr>
            <w:webHidden/>
          </w:rPr>
          <w:tab/>
        </w:r>
        <w:r>
          <w:rPr>
            <w:webHidden/>
          </w:rPr>
          <w:fldChar w:fldCharType="begin"/>
        </w:r>
        <w:r>
          <w:rPr>
            <w:webHidden/>
          </w:rPr>
          <w:instrText xml:space="preserve"> PAGEREF _Toc184900802 \h </w:instrText>
        </w:r>
        <w:r>
          <w:rPr>
            <w:webHidden/>
          </w:rPr>
        </w:r>
        <w:r>
          <w:rPr>
            <w:webHidden/>
          </w:rPr>
          <w:fldChar w:fldCharType="separate"/>
        </w:r>
        <w:r w:rsidR="00312A44">
          <w:rPr>
            <w:webHidden/>
          </w:rPr>
          <w:t>54</w:t>
        </w:r>
        <w:r>
          <w:rPr>
            <w:webHidden/>
          </w:rPr>
          <w:fldChar w:fldCharType="end"/>
        </w:r>
      </w:hyperlink>
    </w:p>
    <w:p w14:paraId="02A980F9" w14:textId="0BB5C399"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3" w:history="1">
        <w:r w:rsidRPr="00191A4B">
          <w:rPr>
            <w:rStyle w:val="Hipercze"/>
            <w:bCs/>
          </w:rPr>
          <w:t>4.</w:t>
        </w:r>
        <w:r>
          <w:rPr>
            <w:rFonts w:asciiTheme="minorHAnsi" w:eastAsiaTheme="minorEastAsia" w:hAnsiTheme="minorHAnsi" w:cstheme="minorBidi"/>
            <w:b w:val="0"/>
            <w:kern w:val="2"/>
            <w:szCs w:val="24"/>
            <w14:ligatures w14:val="standardContextual"/>
          </w:rPr>
          <w:tab/>
        </w:r>
        <w:r w:rsidRPr="00191A4B">
          <w:rPr>
            <w:rStyle w:val="Hipercze"/>
            <w:bCs/>
          </w:rPr>
          <w:t>WYCIĄG Z DOKUMENTACJI TECHNICZNEJ LUB PROGRAM FUNKCJONALNO-UŻYTKOWY</w:t>
        </w:r>
        <w:r>
          <w:rPr>
            <w:webHidden/>
          </w:rPr>
          <w:tab/>
        </w:r>
        <w:r>
          <w:rPr>
            <w:webHidden/>
          </w:rPr>
          <w:fldChar w:fldCharType="begin"/>
        </w:r>
        <w:r>
          <w:rPr>
            <w:webHidden/>
          </w:rPr>
          <w:instrText xml:space="preserve"> PAGEREF _Toc184900803 \h </w:instrText>
        </w:r>
        <w:r>
          <w:rPr>
            <w:webHidden/>
          </w:rPr>
        </w:r>
        <w:r>
          <w:rPr>
            <w:webHidden/>
          </w:rPr>
          <w:fldChar w:fldCharType="separate"/>
        </w:r>
        <w:r w:rsidR="00312A44">
          <w:rPr>
            <w:webHidden/>
          </w:rPr>
          <w:t>56</w:t>
        </w:r>
        <w:r>
          <w:rPr>
            <w:webHidden/>
          </w:rPr>
          <w:fldChar w:fldCharType="end"/>
        </w:r>
      </w:hyperlink>
    </w:p>
    <w:p w14:paraId="3BC56FC8" w14:textId="1E8E4067"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4" w:history="1">
        <w:r w:rsidRPr="00191A4B">
          <w:rPr>
            <w:rStyle w:val="Hipercze"/>
          </w:rPr>
          <w:t>5.</w:t>
        </w:r>
        <w:r>
          <w:rPr>
            <w:rFonts w:asciiTheme="minorHAnsi" w:eastAsiaTheme="minorEastAsia" w:hAnsiTheme="minorHAnsi" w:cstheme="minorBidi"/>
            <w:b w:val="0"/>
            <w:kern w:val="2"/>
            <w:szCs w:val="24"/>
            <w14:ligatures w14:val="standardContextual"/>
          </w:rPr>
          <w:tab/>
        </w:r>
        <w:r w:rsidRPr="00191A4B">
          <w:rPr>
            <w:rStyle w:val="Hipercze"/>
          </w:rPr>
          <w:t>DOKUMENT POTWIERDZAJĄCY ZABEZPIECZENIE ŚRODKÓW KONIECZNYCH DO ZREALIZOWANIA INWESTYCJI</w:t>
        </w:r>
        <w:r>
          <w:rPr>
            <w:webHidden/>
          </w:rPr>
          <w:tab/>
        </w:r>
        <w:r>
          <w:rPr>
            <w:webHidden/>
          </w:rPr>
          <w:fldChar w:fldCharType="begin"/>
        </w:r>
        <w:r>
          <w:rPr>
            <w:webHidden/>
          </w:rPr>
          <w:instrText xml:space="preserve"> PAGEREF _Toc184900804 \h </w:instrText>
        </w:r>
        <w:r>
          <w:rPr>
            <w:webHidden/>
          </w:rPr>
        </w:r>
        <w:r>
          <w:rPr>
            <w:webHidden/>
          </w:rPr>
          <w:fldChar w:fldCharType="separate"/>
        </w:r>
        <w:r w:rsidR="00312A44">
          <w:rPr>
            <w:webHidden/>
          </w:rPr>
          <w:t>57</w:t>
        </w:r>
        <w:r>
          <w:rPr>
            <w:webHidden/>
          </w:rPr>
          <w:fldChar w:fldCharType="end"/>
        </w:r>
      </w:hyperlink>
    </w:p>
    <w:p w14:paraId="205E1349" w14:textId="6640E765"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5" w:history="1">
        <w:r w:rsidRPr="00191A4B">
          <w:rPr>
            <w:rStyle w:val="Hipercze"/>
          </w:rPr>
          <w:t>6. KOPIA ZAWARTEJ UMOWY/POROZUMIENIA NA REALIZACJĘ WSPÓLNEGO PRZEDSIĘWZIĘCIA</w:t>
        </w:r>
        <w:r>
          <w:rPr>
            <w:webHidden/>
          </w:rPr>
          <w:tab/>
        </w:r>
        <w:r>
          <w:rPr>
            <w:webHidden/>
          </w:rPr>
          <w:fldChar w:fldCharType="begin"/>
        </w:r>
        <w:r>
          <w:rPr>
            <w:webHidden/>
          </w:rPr>
          <w:instrText xml:space="preserve"> PAGEREF _Toc184900805 \h </w:instrText>
        </w:r>
        <w:r>
          <w:rPr>
            <w:webHidden/>
          </w:rPr>
        </w:r>
        <w:r>
          <w:rPr>
            <w:webHidden/>
          </w:rPr>
          <w:fldChar w:fldCharType="separate"/>
        </w:r>
        <w:r w:rsidR="00312A44">
          <w:rPr>
            <w:webHidden/>
          </w:rPr>
          <w:t>61</w:t>
        </w:r>
        <w:r>
          <w:rPr>
            <w:webHidden/>
          </w:rPr>
          <w:fldChar w:fldCharType="end"/>
        </w:r>
      </w:hyperlink>
    </w:p>
    <w:p w14:paraId="54169C3A" w14:textId="291A13BC"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6" w:history="1">
        <w:r w:rsidRPr="00191A4B">
          <w:rPr>
            <w:rStyle w:val="Hipercze"/>
          </w:rPr>
          <w:t>7. OŚWIADCZENIE WNIOSKODAWCY O ZGODNOŚCI PROJEKTU  Z ZASADAMI UDZIELANIA POMOCY PUBLICZNEJ</w:t>
        </w:r>
        <w:r>
          <w:rPr>
            <w:webHidden/>
          </w:rPr>
          <w:tab/>
        </w:r>
        <w:r>
          <w:rPr>
            <w:webHidden/>
          </w:rPr>
          <w:fldChar w:fldCharType="begin"/>
        </w:r>
        <w:r>
          <w:rPr>
            <w:webHidden/>
          </w:rPr>
          <w:instrText xml:space="preserve"> PAGEREF _Toc184900806 \h </w:instrText>
        </w:r>
        <w:r>
          <w:rPr>
            <w:webHidden/>
          </w:rPr>
        </w:r>
        <w:r>
          <w:rPr>
            <w:webHidden/>
          </w:rPr>
          <w:fldChar w:fldCharType="separate"/>
        </w:r>
        <w:r w:rsidR="00312A44">
          <w:rPr>
            <w:webHidden/>
          </w:rPr>
          <w:t>63</w:t>
        </w:r>
        <w:r>
          <w:rPr>
            <w:webHidden/>
          </w:rPr>
          <w:fldChar w:fldCharType="end"/>
        </w:r>
      </w:hyperlink>
    </w:p>
    <w:p w14:paraId="02744C91" w14:textId="3EE2117A" w:rsidR="00B453C0" w:rsidRDefault="00B453C0">
      <w:pPr>
        <w:pStyle w:val="Spistreci3"/>
        <w:rPr>
          <w:rFonts w:asciiTheme="minorHAnsi" w:eastAsiaTheme="minorEastAsia" w:hAnsiTheme="minorHAnsi" w:cstheme="minorBidi"/>
          <w:b w:val="0"/>
          <w:kern w:val="2"/>
          <w:szCs w:val="24"/>
          <w14:ligatures w14:val="standardContextual"/>
        </w:rPr>
      </w:pPr>
      <w:hyperlink w:anchor="_Toc184900807" w:history="1">
        <w:r w:rsidRPr="00191A4B">
          <w:rPr>
            <w:rStyle w:val="Hipercze"/>
          </w:rPr>
          <w:t>8. INNE NIEZBĘDNE DOKUMENTY WYMAGANE PRAWEM LUB KATEGORIĄ PROJEKTU</w:t>
        </w:r>
        <w:r>
          <w:rPr>
            <w:webHidden/>
          </w:rPr>
          <w:tab/>
        </w:r>
        <w:r>
          <w:rPr>
            <w:webHidden/>
          </w:rPr>
          <w:fldChar w:fldCharType="begin"/>
        </w:r>
        <w:r>
          <w:rPr>
            <w:webHidden/>
          </w:rPr>
          <w:instrText xml:space="preserve"> PAGEREF _Toc184900807 \h </w:instrText>
        </w:r>
        <w:r>
          <w:rPr>
            <w:webHidden/>
          </w:rPr>
        </w:r>
        <w:r>
          <w:rPr>
            <w:webHidden/>
          </w:rPr>
          <w:fldChar w:fldCharType="separate"/>
        </w:r>
        <w:r w:rsidR="00312A44">
          <w:rPr>
            <w:webHidden/>
          </w:rPr>
          <w:t>64</w:t>
        </w:r>
        <w:r>
          <w:rPr>
            <w:webHidden/>
          </w:rPr>
          <w:fldChar w:fldCharType="end"/>
        </w:r>
      </w:hyperlink>
    </w:p>
    <w:p w14:paraId="01815E4D" w14:textId="42AA14F1" w:rsidR="00E04A5D" w:rsidRPr="004B77D6" w:rsidRDefault="00A06439" w:rsidP="005065C1">
      <w:pPr>
        <w:tabs>
          <w:tab w:val="left" w:leader="dot" w:pos="9072"/>
        </w:tabs>
        <w:spacing w:after="120" w:line="276" w:lineRule="auto"/>
        <w:rPr>
          <w:rFonts w:ascii="Calibri" w:hAnsi="Calibri"/>
          <w:szCs w:val="24"/>
        </w:rPr>
      </w:pPr>
      <w:r w:rsidRPr="005065C1">
        <w:rPr>
          <w:rFonts w:asciiTheme="minorHAnsi" w:hAnsiTheme="minorHAnsi" w:cstheme="minorHAnsi"/>
          <w:b/>
          <w:szCs w:val="24"/>
        </w:rPr>
        <w:fldChar w:fldCharType="end"/>
      </w:r>
    </w:p>
    <w:p w14:paraId="5B0B5BBB" w14:textId="77777777" w:rsidR="00E04A5D" w:rsidRPr="004B77D6" w:rsidRDefault="00E04A5D" w:rsidP="0071603D">
      <w:pPr>
        <w:tabs>
          <w:tab w:val="left" w:pos="1665"/>
        </w:tabs>
        <w:spacing w:after="120" w:line="276" w:lineRule="auto"/>
        <w:rPr>
          <w:rFonts w:ascii="Calibri" w:hAnsi="Calibri"/>
          <w:szCs w:val="24"/>
        </w:rPr>
      </w:pPr>
      <w:r w:rsidRPr="004B77D6">
        <w:rPr>
          <w:rFonts w:ascii="Calibri" w:hAnsi="Calibri"/>
          <w:szCs w:val="24"/>
        </w:rPr>
        <w:tab/>
      </w:r>
    </w:p>
    <w:p w14:paraId="5DCAF1C5" w14:textId="77777777" w:rsidR="00A06439" w:rsidRPr="004B77D6" w:rsidRDefault="00A06439" w:rsidP="0071603D">
      <w:pPr>
        <w:tabs>
          <w:tab w:val="left" w:leader="dot" w:pos="9072"/>
        </w:tabs>
        <w:spacing w:after="120" w:line="276" w:lineRule="auto"/>
        <w:rPr>
          <w:rFonts w:ascii="Calibri" w:hAnsi="Calibri"/>
          <w:b/>
          <w:sz w:val="28"/>
          <w:szCs w:val="28"/>
        </w:rPr>
      </w:pPr>
      <w:r w:rsidRPr="004B77D6">
        <w:rPr>
          <w:rFonts w:ascii="Calibri" w:hAnsi="Calibri"/>
          <w:szCs w:val="24"/>
        </w:rPr>
        <w:br w:type="page"/>
      </w:r>
      <w:r w:rsidRPr="004B77D6">
        <w:rPr>
          <w:rFonts w:ascii="Calibri" w:hAnsi="Calibri"/>
          <w:b/>
          <w:sz w:val="28"/>
          <w:szCs w:val="28"/>
        </w:rPr>
        <w:lastRenderedPageBreak/>
        <w:t>ZAŁĄCZNIKI DO WNIOSKU O DOFINANSOWANIE REALIZACJI PROJEKTU</w:t>
      </w:r>
    </w:p>
    <w:p w14:paraId="4DA9F9E4" w14:textId="1475B48E" w:rsidR="00A06439" w:rsidRPr="004B77D6" w:rsidRDefault="00A06439" w:rsidP="0071603D">
      <w:pPr>
        <w:pStyle w:val="Nagwek3"/>
        <w:numPr>
          <w:ilvl w:val="0"/>
          <w:numId w:val="7"/>
        </w:numPr>
        <w:suppressAutoHyphens w:val="0"/>
        <w:spacing w:before="0" w:after="120" w:line="276" w:lineRule="auto"/>
        <w:ind w:left="180" w:firstLine="0"/>
        <w:rPr>
          <w:rFonts w:ascii="Calibri" w:hAnsi="Calibri"/>
          <w:sz w:val="28"/>
          <w:szCs w:val="28"/>
        </w:rPr>
      </w:pPr>
      <w:bookmarkStart w:id="0" w:name="_Toc477857424"/>
      <w:bookmarkStart w:id="1" w:name="_Toc184900787"/>
      <w:r w:rsidRPr="004B77D6">
        <w:rPr>
          <w:rFonts w:ascii="Calibri" w:hAnsi="Calibri"/>
          <w:sz w:val="28"/>
          <w:szCs w:val="28"/>
        </w:rPr>
        <w:t>STUDIUM WYKONALNOŚCI INWESTYCJI</w:t>
      </w:r>
      <w:bookmarkEnd w:id="0"/>
      <w:r w:rsidR="00F60BBB" w:rsidRPr="004B77D6">
        <w:rPr>
          <w:rFonts w:ascii="Calibri" w:hAnsi="Calibri"/>
          <w:sz w:val="28"/>
          <w:szCs w:val="28"/>
          <w:lang w:val="pl-PL"/>
        </w:rPr>
        <w:t xml:space="preserve"> (SWI)</w:t>
      </w:r>
      <w:bookmarkEnd w:id="1"/>
    </w:p>
    <w:p w14:paraId="67150CF3" w14:textId="15D22A92" w:rsidR="00CE60F1" w:rsidRPr="00196CDC" w:rsidRDefault="00221A22" w:rsidP="00196CDC">
      <w:pPr>
        <w:pStyle w:val="Akapitzlist"/>
        <w:spacing w:after="120"/>
        <w:ind w:left="0" w:firstLine="180"/>
        <w:rPr>
          <w:rFonts w:eastAsia="Times New Roman"/>
          <w:sz w:val="24"/>
          <w:szCs w:val="24"/>
          <w:lang w:val="pl-PL" w:eastAsia="pl-PL"/>
        </w:rPr>
      </w:pPr>
      <w:r w:rsidRPr="004B77D6">
        <w:rPr>
          <w:rFonts w:asciiTheme="minorHAnsi" w:hAnsiTheme="minorHAnsi" w:cstheme="minorHAnsi"/>
          <w:sz w:val="24"/>
          <w:szCs w:val="24"/>
        </w:rPr>
        <w:t>S</w:t>
      </w:r>
      <w:r w:rsidR="00866268" w:rsidRPr="004B77D6">
        <w:rPr>
          <w:rFonts w:asciiTheme="minorHAnsi" w:hAnsiTheme="minorHAnsi" w:cstheme="minorHAnsi"/>
          <w:sz w:val="24"/>
          <w:szCs w:val="24"/>
          <w:lang w:val="pl-PL"/>
        </w:rPr>
        <w:t xml:space="preserve">tudium Wykonalności </w:t>
      </w:r>
      <w:r w:rsidRPr="004B77D6">
        <w:rPr>
          <w:rFonts w:asciiTheme="minorHAnsi" w:hAnsiTheme="minorHAnsi" w:cstheme="minorHAnsi"/>
          <w:sz w:val="24"/>
          <w:szCs w:val="24"/>
        </w:rPr>
        <w:t>I</w:t>
      </w:r>
      <w:r w:rsidR="00866268" w:rsidRPr="004B77D6">
        <w:rPr>
          <w:rFonts w:asciiTheme="minorHAnsi" w:hAnsiTheme="minorHAnsi" w:cstheme="minorHAnsi"/>
          <w:sz w:val="24"/>
          <w:szCs w:val="24"/>
          <w:lang w:val="pl-PL"/>
        </w:rPr>
        <w:t>nwestycji</w:t>
      </w:r>
      <w:r w:rsidRPr="004B77D6">
        <w:rPr>
          <w:rFonts w:asciiTheme="minorHAnsi" w:hAnsiTheme="minorHAnsi" w:cstheme="minorHAnsi"/>
          <w:sz w:val="24"/>
          <w:szCs w:val="24"/>
        </w:rPr>
        <w:t xml:space="preserve"> </w:t>
      </w:r>
      <w:r w:rsidRPr="004B77D6">
        <w:rPr>
          <w:rFonts w:asciiTheme="minorHAnsi" w:hAnsiTheme="minorHAnsi" w:cstheme="minorHAnsi"/>
          <w:sz w:val="24"/>
          <w:szCs w:val="24"/>
          <w:lang w:val="pl-PL"/>
        </w:rPr>
        <w:t xml:space="preserve">powinno zostać przygotowane </w:t>
      </w:r>
      <w:r w:rsidRPr="004B77D6">
        <w:rPr>
          <w:rFonts w:asciiTheme="minorHAnsi" w:hAnsiTheme="minorHAnsi" w:cstheme="minorHAnsi"/>
          <w:sz w:val="24"/>
          <w:szCs w:val="24"/>
        </w:rPr>
        <w:t xml:space="preserve">w oparciu o </w:t>
      </w:r>
      <w:r w:rsidR="002C0751" w:rsidRPr="004B77D6">
        <w:rPr>
          <w:rFonts w:asciiTheme="minorHAnsi" w:hAnsiTheme="minorHAnsi" w:cstheme="minorHAnsi"/>
          <w:sz w:val="24"/>
          <w:szCs w:val="24"/>
        </w:rPr>
        <w:t>wz</w:t>
      </w:r>
      <w:r w:rsidR="002C0751">
        <w:rPr>
          <w:rFonts w:asciiTheme="minorHAnsi" w:hAnsiTheme="minorHAnsi" w:cstheme="minorHAnsi"/>
          <w:sz w:val="24"/>
          <w:szCs w:val="24"/>
          <w:lang w:val="pl-PL"/>
        </w:rPr>
        <w:t>ory</w:t>
      </w:r>
      <w:r w:rsidR="002C0751" w:rsidRPr="004B77D6">
        <w:rPr>
          <w:rFonts w:asciiTheme="minorHAnsi" w:hAnsiTheme="minorHAnsi" w:cstheme="minorHAnsi"/>
          <w:sz w:val="24"/>
          <w:szCs w:val="24"/>
        </w:rPr>
        <w:t xml:space="preserve"> umieszczon</w:t>
      </w:r>
      <w:r w:rsidR="002C0751">
        <w:rPr>
          <w:rFonts w:asciiTheme="minorHAnsi" w:hAnsiTheme="minorHAnsi" w:cstheme="minorHAnsi"/>
          <w:sz w:val="24"/>
          <w:szCs w:val="24"/>
          <w:lang w:val="pl-PL"/>
        </w:rPr>
        <w:t>e</w:t>
      </w:r>
      <w:r w:rsidR="002C0751" w:rsidRPr="004B77D6">
        <w:rPr>
          <w:rFonts w:asciiTheme="minorHAnsi" w:hAnsiTheme="minorHAnsi" w:cstheme="minorHAnsi"/>
          <w:sz w:val="24"/>
          <w:szCs w:val="24"/>
        </w:rPr>
        <w:t xml:space="preserve"> </w:t>
      </w:r>
      <w:r w:rsidR="00240524" w:rsidRPr="004B77D6">
        <w:rPr>
          <w:rFonts w:asciiTheme="minorHAnsi" w:hAnsiTheme="minorHAnsi" w:cstheme="minorHAnsi"/>
          <w:sz w:val="24"/>
          <w:szCs w:val="24"/>
        </w:rPr>
        <w:t>w załączniku nr 5</w:t>
      </w:r>
      <w:r w:rsidRPr="004B77D6">
        <w:rPr>
          <w:rFonts w:asciiTheme="minorHAnsi" w:hAnsiTheme="minorHAnsi" w:cstheme="minorHAnsi"/>
          <w:sz w:val="24"/>
          <w:szCs w:val="24"/>
        </w:rPr>
        <w:t xml:space="preserve"> do </w:t>
      </w:r>
      <w:r w:rsidR="00866268" w:rsidRPr="004B77D6">
        <w:rPr>
          <w:rFonts w:asciiTheme="minorHAnsi" w:hAnsiTheme="minorHAnsi" w:cstheme="minorHAnsi"/>
          <w:sz w:val="24"/>
          <w:szCs w:val="24"/>
          <w:lang w:val="pl-PL"/>
        </w:rPr>
        <w:t>Regulaminu</w:t>
      </w:r>
      <w:r w:rsidRPr="004B77D6">
        <w:rPr>
          <w:rFonts w:asciiTheme="minorHAnsi" w:hAnsiTheme="minorHAnsi" w:cstheme="minorHAnsi"/>
          <w:sz w:val="24"/>
          <w:szCs w:val="24"/>
        </w:rPr>
        <w:t xml:space="preserve"> wyboru projektów, w którym zawarte są wytyczne dotyczące tego, jaki opis powinien </w:t>
      </w:r>
      <w:r w:rsidR="00EA2AAE" w:rsidRPr="004B77D6">
        <w:rPr>
          <w:rFonts w:asciiTheme="minorHAnsi" w:hAnsiTheme="minorHAnsi" w:cstheme="minorHAnsi"/>
          <w:sz w:val="24"/>
          <w:szCs w:val="24"/>
          <w:lang w:val="pl-PL"/>
        </w:rPr>
        <w:t>W</w:t>
      </w:r>
      <w:proofErr w:type="spellStart"/>
      <w:r w:rsidR="00EA2AAE" w:rsidRPr="004B77D6">
        <w:rPr>
          <w:rFonts w:asciiTheme="minorHAnsi" w:hAnsiTheme="minorHAnsi" w:cstheme="minorHAnsi"/>
          <w:sz w:val="24"/>
          <w:szCs w:val="24"/>
        </w:rPr>
        <w:t>nioskodawca</w:t>
      </w:r>
      <w:proofErr w:type="spellEnd"/>
      <w:r w:rsidR="00F0578C">
        <w:rPr>
          <w:rFonts w:asciiTheme="minorHAnsi" w:hAnsiTheme="minorHAnsi" w:cstheme="minorHAnsi"/>
          <w:sz w:val="24"/>
          <w:szCs w:val="24"/>
          <w:lang w:val="pl-PL"/>
        </w:rPr>
        <w:t>/Partner</w:t>
      </w:r>
      <w:r w:rsidRPr="004B77D6">
        <w:rPr>
          <w:rFonts w:asciiTheme="minorHAnsi" w:hAnsiTheme="minorHAnsi" w:cstheme="minorHAnsi"/>
          <w:sz w:val="24"/>
          <w:szCs w:val="24"/>
        </w:rPr>
        <w:t xml:space="preserve"> ująć w ramach każdego punktu</w:t>
      </w:r>
      <w:r w:rsidR="00866268" w:rsidRPr="004B77D6">
        <w:rPr>
          <w:rFonts w:asciiTheme="minorHAnsi" w:hAnsiTheme="minorHAnsi" w:cstheme="minorHAnsi"/>
          <w:sz w:val="24"/>
          <w:szCs w:val="24"/>
          <w:lang w:val="pl-PL"/>
        </w:rPr>
        <w:t>.</w:t>
      </w:r>
      <w:r w:rsidR="002C0751">
        <w:rPr>
          <w:rFonts w:asciiTheme="minorHAnsi" w:hAnsiTheme="minorHAnsi" w:cstheme="minorHAnsi"/>
          <w:sz w:val="24"/>
          <w:szCs w:val="24"/>
          <w:lang w:val="pl-PL"/>
        </w:rPr>
        <w:t xml:space="preserve"> Dla </w:t>
      </w:r>
      <w:r w:rsidR="002C0751">
        <w:rPr>
          <w:rFonts w:eastAsia="Times New Roman"/>
          <w:sz w:val="24"/>
          <w:szCs w:val="24"/>
          <w:lang w:val="pl-PL" w:eastAsia="pl-PL"/>
        </w:rPr>
        <w:t>p</w:t>
      </w:r>
      <w:proofErr w:type="spellStart"/>
      <w:r w:rsidR="002C0751">
        <w:rPr>
          <w:rFonts w:eastAsia="Times New Roman"/>
          <w:sz w:val="24"/>
          <w:szCs w:val="24"/>
          <w:lang w:eastAsia="pl-PL"/>
        </w:rPr>
        <w:t>rojektu</w:t>
      </w:r>
      <w:proofErr w:type="spellEnd"/>
      <w:r w:rsidR="002C0751">
        <w:rPr>
          <w:rFonts w:eastAsia="Times New Roman"/>
          <w:sz w:val="24"/>
          <w:szCs w:val="24"/>
          <w:lang w:eastAsia="pl-PL"/>
        </w:rPr>
        <w:t xml:space="preserve"> realizując</w:t>
      </w:r>
      <w:r w:rsidR="002C0751">
        <w:rPr>
          <w:rFonts w:eastAsia="Times New Roman"/>
          <w:sz w:val="24"/>
          <w:szCs w:val="24"/>
          <w:lang w:val="pl-PL" w:eastAsia="pl-PL"/>
        </w:rPr>
        <w:t>ego</w:t>
      </w:r>
      <w:r w:rsidR="002C0751">
        <w:rPr>
          <w:rFonts w:eastAsia="Times New Roman"/>
          <w:sz w:val="24"/>
          <w:szCs w:val="24"/>
          <w:lang w:eastAsia="pl-PL"/>
        </w:rPr>
        <w:t xml:space="preserve"> </w:t>
      </w:r>
      <w:r w:rsidR="002C0751">
        <w:rPr>
          <w:rFonts w:eastAsia="Times New Roman"/>
          <w:sz w:val="24"/>
          <w:szCs w:val="24"/>
          <w:lang w:val="pl-PL" w:eastAsia="pl-PL"/>
        </w:rPr>
        <w:t>wyłącznie</w:t>
      </w:r>
      <w:r w:rsidR="002C0751">
        <w:rPr>
          <w:rFonts w:eastAsia="Times New Roman"/>
          <w:sz w:val="24"/>
          <w:szCs w:val="24"/>
          <w:lang w:eastAsia="pl-PL"/>
        </w:rPr>
        <w:t xml:space="preserve"> działania obejmujące zakup sprzętu tj. </w:t>
      </w:r>
      <w:r w:rsidR="002C0751">
        <w:rPr>
          <w:rFonts w:eastAsia="Times New Roman"/>
          <w:sz w:val="24"/>
          <w:szCs w:val="24"/>
          <w:lang w:val="pl-PL" w:eastAsia="pl-PL"/>
        </w:rPr>
        <w:t xml:space="preserve">wpisującego się w </w:t>
      </w:r>
      <w:r w:rsidR="002C0751">
        <w:rPr>
          <w:rFonts w:eastAsia="Times New Roman"/>
          <w:sz w:val="24"/>
          <w:szCs w:val="24"/>
          <w:lang w:eastAsia="pl-PL"/>
        </w:rPr>
        <w:t>typy projektu nr 5 i 8</w:t>
      </w:r>
      <w:r w:rsidR="002C0751">
        <w:rPr>
          <w:rFonts w:eastAsia="Times New Roman"/>
          <w:sz w:val="24"/>
          <w:szCs w:val="24"/>
          <w:lang w:val="pl-PL" w:eastAsia="pl-PL"/>
        </w:rPr>
        <w:t xml:space="preserve">, należy sporządzić załącznik 1 b tj. </w:t>
      </w:r>
      <w:r w:rsidR="002C0751" w:rsidRPr="002C0751">
        <w:rPr>
          <w:rFonts w:eastAsia="Times New Roman"/>
          <w:sz w:val="24"/>
          <w:szCs w:val="24"/>
          <w:lang w:val="pl-PL" w:eastAsia="pl-PL"/>
        </w:rPr>
        <w:t>Studium Wykonalności Inwestycji</w:t>
      </w:r>
      <w:r w:rsidR="002C0751">
        <w:rPr>
          <w:rFonts w:eastAsia="Times New Roman"/>
          <w:sz w:val="24"/>
          <w:szCs w:val="24"/>
          <w:lang w:val="pl-PL" w:eastAsia="pl-PL"/>
        </w:rPr>
        <w:t xml:space="preserve"> </w:t>
      </w:r>
      <w:r w:rsidR="002C0751" w:rsidRPr="002C0751">
        <w:rPr>
          <w:rFonts w:eastAsia="Times New Roman"/>
          <w:sz w:val="24"/>
          <w:szCs w:val="24"/>
          <w:lang w:val="pl-PL" w:eastAsia="pl-PL"/>
        </w:rPr>
        <w:t>-</w:t>
      </w:r>
      <w:r w:rsidR="002C0751">
        <w:rPr>
          <w:rFonts w:eastAsia="Times New Roman"/>
          <w:sz w:val="24"/>
          <w:szCs w:val="24"/>
          <w:lang w:val="pl-PL" w:eastAsia="pl-PL"/>
        </w:rPr>
        <w:t xml:space="preserve"> </w:t>
      </w:r>
      <w:r w:rsidR="002C0751" w:rsidRPr="002C0751">
        <w:rPr>
          <w:rFonts w:eastAsia="Times New Roman"/>
          <w:sz w:val="24"/>
          <w:szCs w:val="24"/>
          <w:lang w:val="pl-PL" w:eastAsia="pl-PL"/>
        </w:rPr>
        <w:t>wersja uproszczona</w:t>
      </w:r>
      <w:r w:rsidR="002C0751">
        <w:rPr>
          <w:rFonts w:eastAsia="Times New Roman"/>
          <w:sz w:val="24"/>
          <w:szCs w:val="24"/>
          <w:lang w:val="pl-PL" w:eastAsia="pl-PL"/>
        </w:rPr>
        <w:t>. Dla pozostałych inwestycji należy przygotować Studium Wykonalności Inwestycji w pełnej wersji – załącznik 1a.</w:t>
      </w:r>
    </w:p>
    <w:p w14:paraId="7F4E9BEF" w14:textId="77777777" w:rsidR="00CE60F1" w:rsidRPr="002C0751" w:rsidRDefault="00CE60F1" w:rsidP="0071603D">
      <w:pPr>
        <w:pStyle w:val="Akapitzlist"/>
        <w:spacing w:after="120"/>
        <w:ind w:left="360"/>
        <w:rPr>
          <w:rFonts w:asciiTheme="minorHAnsi" w:hAnsiTheme="minorHAnsi" w:cstheme="minorHAnsi"/>
          <w:sz w:val="24"/>
          <w:szCs w:val="24"/>
          <w:lang w:val="pl-PL"/>
        </w:rPr>
      </w:pPr>
    </w:p>
    <w:p w14:paraId="148B80BA" w14:textId="77777777" w:rsidR="00C2071D" w:rsidRPr="004B77D6" w:rsidRDefault="00C2071D" w:rsidP="00C2071D">
      <w:pPr>
        <w:spacing w:before="120" w:after="120" w:line="276" w:lineRule="auto"/>
        <w:rPr>
          <w:rFonts w:ascii="Calibri" w:hAnsi="Calibri"/>
          <w:szCs w:val="24"/>
          <w:u w:val="single"/>
        </w:rPr>
      </w:pPr>
      <w:r w:rsidRPr="004B77D6">
        <w:rPr>
          <w:rFonts w:ascii="Calibri" w:hAnsi="Calibri"/>
          <w:szCs w:val="24"/>
          <w:u w:val="single"/>
        </w:rPr>
        <w:t>Studium Wykonalności Inwestycji (SWI) ma za zadanie:</w:t>
      </w:r>
    </w:p>
    <w:p w14:paraId="46D62C86" w14:textId="2D66E0C0" w:rsidR="00C2071D" w:rsidRPr="004B77D6" w:rsidRDefault="00EA2AAE" w:rsidP="00C2071D">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wskazać</w:t>
      </w:r>
      <w:r w:rsidR="00C2071D" w:rsidRPr="004B77D6">
        <w:rPr>
          <w:rFonts w:ascii="Calibri" w:hAnsi="Calibri"/>
          <w:szCs w:val="24"/>
        </w:rPr>
        <w:t>, które z różnych proponowanych rozwiązań problemu będzie najlepsze pod względem technicznym, ekonomicznym, społecznym oraz ekologicznym;</w:t>
      </w:r>
    </w:p>
    <w:p w14:paraId="2176D910" w14:textId="5EC8E6DC" w:rsidR="00C2071D" w:rsidRPr="004B77D6" w:rsidRDefault="00EA2AAE" w:rsidP="00C2071D">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 xml:space="preserve">wstępnie </w:t>
      </w:r>
      <w:r w:rsidR="00C2071D" w:rsidRPr="004B77D6">
        <w:rPr>
          <w:rFonts w:ascii="Calibri" w:hAnsi="Calibri"/>
          <w:szCs w:val="24"/>
        </w:rPr>
        <w:t>określić zakres rzeczowy przedsięwzięcia oraz główne parametry techniczne;</w:t>
      </w:r>
    </w:p>
    <w:p w14:paraId="6772001E" w14:textId="243C3584" w:rsidR="00C2071D" w:rsidRPr="004B77D6" w:rsidRDefault="00EA2AAE" w:rsidP="00C2071D">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 xml:space="preserve">oszacować </w:t>
      </w:r>
      <w:r w:rsidR="00C2071D" w:rsidRPr="004B77D6">
        <w:rPr>
          <w:rFonts w:ascii="Calibri" w:hAnsi="Calibri"/>
          <w:szCs w:val="24"/>
        </w:rPr>
        <w:t>nakłady inwestycyjne;</w:t>
      </w:r>
    </w:p>
    <w:p w14:paraId="1B7B7FC7" w14:textId="5C4D8034" w:rsidR="00C2071D" w:rsidRPr="004B77D6" w:rsidRDefault="00EA2AAE" w:rsidP="00C2071D">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 xml:space="preserve">zidentyfikować </w:t>
      </w:r>
      <w:r w:rsidR="00C2071D" w:rsidRPr="004B77D6">
        <w:rPr>
          <w:rFonts w:ascii="Calibri" w:hAnsi="Calibri"/>
          <w:szCs w:val="24"/>
        </w:rPr>
        <w:t>potencjalne problemy związane z realizacją oraz eksploatacją analizowanej inwestycji;</w:t>
      </w:r>
    </w:p>
    <w:p w14:paraId="6BE1B8F3" w14:textId="34DDCEA3" w:rsidR="00C2071D" w:rsidRPr="004B77D6" w:rsidRDefault="00EA2AAE" w:rsidP="00C2071D">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 xml:space="preserve">wykazać </w:t>
      </w:r>
      <w:r w:rsidR="00C2071D" w:rsidRPr="004B77D6">
        <w:rPr>
          <w:rFonts w:ascii="Calibri" w:hAnsi="Calibri"/>
          <w:szCs w:val="24"/>
        </w:rPr>
        <w:t>celowość realizowanej inwestycji.</w:t>
      </w:r>
    </w:p>
    <w:p w14:paraId="4D81434E" w14:textId="5A1775A9" w:rsidR="00C2071D" w:rsidRPr="004B77D6" w:rsidRDefault="00C2071D" w:rsidP="00C2071D">
      <w:pPr>
        <w:spacing w:before="40" w:after="40" w:line="276" w:lineRule="auto"/>
        <w:ind w:firstLine="540"/>
        <w:rPr>
          <w:rFonts w:ascii="Calibri" w:hAnsi="Calibri"/>
          <w:szCs w:val="24"/>
        </w:rPr>
      </w:pPr>
      <w:r w:rsidRPr="004B77D6">
        <w:rPr>
          <w:rFonts w:ascii="Calibri" w:hAnsi="Calibri"/>
          <w:szCs w:val="24"/>
        </w:rPr>
        <w:t xml:space="preserve">W załączniku nr 5 do Regulaminu wyboru projektów zamieszczono </w:t>
      </w:r>
      <w:r w:rsidR="00BF6983" w:rsidRPr="004B77D6">
        <w:rPr>
          <w:rFonts w:ascii="Calibri" w:hAnsi="Calibri"/>
          <w:szCs w:val="24"/>
        </w:rPr>
        <w:t>wz</w:t>
      </w:r>
      <w:r w:rsidR="00BF6983">
        <w:rPr>
          <w:rFonts w:ascii="Calibri" w:hAnsi="Calibri"/>
          <w:szCs w:val="24"/>
        </w:rPr>
        <w:t>ory</w:t>
      </w:r>
      <w:r w:rsidR="00BF6983" w:rsidRPr="004B77D6">
        <w:rPr>
          <w:rFonts w:ascii="Calibri" w:hAnsi="Calibri"/>
          <w:szCs w:val="24"/>
        </w:rPr>
        <w:t xml:space="preserve"> </w:t>
      </w:r>
      <w:r w:rsidRPr="004B77D6">
        <w:rPr>
          <w:rFonts w:ascii="Calibri" w:hAnsi="Calibri"/>
          <w:szCs w:val="24"/>
        </w:rPr>
        <w:t xml:space="preserve">SWI, w </w:t>
      </w:r>
      <w:r w:rsidR="00BF6983" w:rsidRPr="004B77D6">
        <w:rPr>
          <w:rFonts w:ascii="Calibri" w:hAnsi="Calibri"/>
          <w:szCs w:val="24"/>
        </w:rPr>
        <w:t>który</w:t>
      </w:r>
      <w:r w:rsidR="00BF6983">
        <w:rPr>
          <w:rFonts w:ascii="Calibri" w:hAnsi="Calibri"/>
          <w:szCs w:val="24"/>
        </w:rPr>
        <w:t>ch</w:t>
      </w:r>
      <w:r w:rsidR="00BF6983" w:rsidRPr="004B77D6">
        <w:rPr>
          <w:rFonts w:ascii="Calibri" w:hAnsi="Calibri"/>
          <w:szCs w:val="24"/>
        </w:rPr>
        <w:t xml:space="preserve"> </w:t>
      </w:r>
      <w:r w:rsidRPr="004B77D6">
        <w:rPr>
          <w:rFonts w:ascii="Calibri" w:hAnsi="Calibri"/>
          <w:szCs w:val="24"/>
        </w:rPr>
        <w:t xml:space="preserve">zawarte są wytyczne dotyczące </w:t>
      </w:r>
      <w:r w:rsidR="00CB5F67" w:rsidRPr="004B77D6">
        <w:rPr>
          <w:rFonts w:ascii="Calibri" w:hAnsi="Calibri"/>
          <w:szCs w:val="24"/>
        </w:rPr>
        <w:t xml:space="preserve">tego, </w:t>
      </w:r>
      <w:r w:rsidRPr="004B77D6">
        <w:rPr>
          <w:rFonts w:ascii="Calibri" w:hAnsi="Calibri"/>
          <w:szCs w:val="24"/>
        </w:rPr>
        <w:t>jaki opis powinien wnioskodawca ująć w ramach każdego punktu. Opracowując SWI należy mieć na uwadze cykl życia projektu, uwzględniając kolejno etapy od planowania strategicznego, tj. identyfikacji potrzeb i możliwości, poprzez projektowanie, wdrażanie, rozliczanie i ewaluację. Studium powinno zawierać</w:t>
      </w:r>
      <w:r w:rsidR="00CB5F67" w:rsidRPr="004B77D6">
        <w:rPr>
          <w:rFonts w:ascii="Calibri" w:hAnsi="Calibri"/>
          <w:szCs w:val="24"/>
        </w:rPr>
        <w:t>,</w:t>
      </w:r>
      <w:r w:rsidRPr="004B77D6">
        <w:rPr>
          <w:rFonts w:ascii="Calibri" w:hAnsi="Calibri"/>
          <w:szCs w:val="24"/>
        </w:rPr>
        <w:t xml:space="preserve"> m.in. identyfikację projektu, analizę instytucjonalną i prawną wykonalności projektu, analizę popytu oraz analizę opcji, analizę finansową i ekonomiczną</w:t>
      </w:r>
      <w:r w:rsidR="00CB5F67" w:rsidRPr="004B77D6">
        <w:rPr>
          <w:rFonts w:ascii="Calibri" w:hAnsi="Calibri"/>
          <w:szCs w:val="24"/>
        </w:rPr>
        <w:t>,</w:t>
      </w:r>
      <w:r w:rsidRPr="004B77D6">
        <w:rPr>
          <w:rFonts w:ascii="Calibri" w:hAnsi="Calibri"/>
          <w:szCs w:val="24"/>
        </w:rPr>
        <w:t xml:space="preserve"> zgodnie z opisem określonym we wzorze SWI.</w:t>
      </w:r>
    </w:p>
    <w:p w14:paraId="72FFD914" w14:textId="5EDC90FA" w:rsidR="00C2071D" w:rsidRPr="004B77D6" w:rsidRDefault="00C2071D" w:rsidP="00C2071D">
      <w:pPr>
        <w:spacing w:before="40" w:after="40" w:line="276" w:lineRule="auto"/>
        <w:ind w:firstLine="540"/>
        <w:rPr>
          <w:rFonts w:ascii="Calibri" w:hAnsi="Calibri"/>
          <w:szCs w:val="24"/>
        </w:rPr>
      </w:pPr>
      <w:r w:rsidRPr="004B77D6">
        <w:rPr>
          <w:rFonts w:ascii="Calibri" w:hAnsi="Calibri"/>
          <w:b/>
          <w:szCs w:val="24"/>
          <w:u w:val="single"/>
        </w:rPr>
        <w:t>Dla jednego projektu należy sporządzić jedno studium wykonalności</w:t>
      </w:r>
      <w:r w:rsidRPr="004B77D6">
        <w:rPr>
          <w:rFonts w:ascii="Calibri" w:hAnsi="Calibri"/>
          <w:szCs w:val="24"/>
        </w:rPr>
        <w:t>, uwzględniające korzyści bądź straty z wykonania całej inwestycji niezależnie od jej typu oraz złożoności. Ponadto</w:t>
      </w:r>
      <w:r w:rsidR="00CB5F67" w:rsidRPr="004B77D6">
        <w:rPr>
          <w:rFonts w:ascii="Calibri" w:hAnsi="Calibri"/>
          <w:szCs w:val="24"/>
        </w:rPr>
        <w:t>,</w:t>
      </w:r>
      <w:r w:rsidRPr="004B77D6">
        <w:rPr>
          <w:rFonts w:ascii="Calibri" w:hAnsi="Calibri"/>
          <w:szCs w:val="24"/>
        </w:rPr>
        <w:t xml:space="preserve"> obliczamy jeden wskaźnik efektywności kosztowej, obejmujący cały projekt. </w:t>
      </w:r>
    </w:p>
    <w:p w14:paraId="7BA6375D" w14:textId="77777777" w:rsidR="00C2071D" w:rsidRDefault="00C2071D" w:rsidP="00C2071D">
      <w:pPr>
        <w:spacing w:before="120" w:after="360" w:line="276" w:lineRule="auto"/>
        <w:ind w:firstLine="539"/>
        <w:rPr>
          <w:rFonts w:ascii="Calibri" w:hAnsi="Calibri"/>
          <w:szCs w:val="24"/>
          <w:u w:val="single"/>
        </w:rPr>
      </w:pPr>
      <w:r w:rsidRPr="004B77D6">
        <w:rPr>
          <w:rFonts w:ascii="Calibri" w:hAnsi="Calibri"/>
          <w:szCs w:val="24"/>
        </w:rPr>
        <w:t xml:space="preserve">W przypadku realizacji jednego z kilku etapów projektu w studium wykonalności należy uzasadnić ekonomicznie celowość dofinansowania danego etapu w myśl zasady, </w:t>
      </w:r>
      <w:r w:rsidRPr="004B77D6">
        <w:rPr>
          <w:rFonts w:ascii="Calibri" w:hAnsi="Calibri"/>
          <w:szCs w:val="24"/>
        </w:rPr>
        <w:br/>
        <w:t xml:space="preserve">że </w:t>
      </w:r>
      <w:r w:rsidRPr="004B77D6">
        <w:rPr>
          <w:rFonts w:ascii="Calibri" w:hAnsi="Calibri"/>
          <w:szCs w:val="24"/>
          <w:u w:val="single"/>
        </w:rPr>
        <w:t xml:space="preserve">dofinansowanie może uzyskać projekt kompletny dający po ukończeniu wymierny efekt. </w:t>
      </w:r>
    </w:p>
    <w:p w14:paraId="1F7DD743" w14:textId="7FAB2470" w:rsidR="00BF6983" w:rsidRDefault="00BF6983" w:rsidP="00C2071D">
      <w:pPr>
        <w:spacing w:before="120" w:after="360" w:line="276" w:lineRule="auto"/>
        <w:ind w:firstLine="539"/>
        <w:rPr>
          <w:rFonts w:ascii="Calibri" w:hAnsi="Calibri"/>
          <w:szCs w:val="24"/>
          <w:u w:val="single"/>
        </w:rPr>
      </w:pPr>
      <w:r w:rsidRPr="00BF6983">
        <w:rPr>
          <w:rFonts w:ascii="Calibri" w:hAnsi="Calibri"/>
          <w:szCs w:val="24"/>
          <w:u w:val="single"/>
        </w:rPr>
        <w:t xml:space="preserve">Ponadto wnioskodawca zobowiązany jest odnieść się do kryteriów merytorycznych oceny projektu określonych dla działania 2.3 </w:t>
      </w:r>
      <w:r w:rsidRPr="00196CDC">
        <w:rPr>
          <w:rFonts w:ascii="Calibri" w:hAnsi="Calibri"/>
          <w:i/>
          <w:iCs/>
          <w:szCs w:val="24"/>
          <w:u w:val="single"/>
        </w:rPr>
        <w:t xml:space="preserve">Zapobieganie zagrożeniom związanym ze </w:t>
      </w:r>
      <w:r w:rsidRPr="00196CDC">
        <w:rPr>
          <w:rFonts w:ascii="Calibri" w:hAnsi="Calibri"/>
          <w:i/>
          <w:iCs/>
          <w:szCs w:val="24"/>
          <w:u w:val="single"/>
        </w:rPr>
        <w:lastRenderedPageBreak/>
        <w:t>zmianą klimatu</w:t>
      </w:r>
      <w:r w:rsidRPr="00BF6983">
        <w:rPr>
          <w:rFonts w:ascii="Calibri" w:hAnsi="Calibri"/>
          <w:szCs w:val="24"/>
          <w:u w:val="single"/>
        </w:rPr>
        <w:t xml:space="preserve">  FEO 2021-2027, stanowiących załącznik nr 8 do Regulaminu wyboru projektów. W przypadku gdy wartości kryteriów wynikają z dokonanych obliczeń należy zaprezentować szczegółową metodologię ich obliczenia.</w:t>
      </w:r>
    </w:p>
    <w:p w14:paraId="46240F14" w14:textId="77777777" w:rsidR="00C2071D" w:rsidRPr="004B77D6" w:rsidRDefault="00C2071D" w:rsidP="00C2071D">
      <w:pPr>
        <w:numPr>
          <w:ilvl w:val="1"/>
          <w:numId w:val="7"/>
        </w:numPr>
        <w:tabs>
          <w:tab w:val="clear" w:pos="792"/>
          <w:tab w:val="num" w:pos="360"/>
        </w:tabs>
        <w:spacing w:after="120" w:line="276" w:lineRule="auto"/>
        <w:ind w:hanging="612"/>
        <w:rPr>
          <w:rFonts w:ascii="Calibri" w:hAnsi="Calibri"/>
          <w:szCs w:val="24"/>
          <w:u w:val="single"/>
        </w:rPr>
      </w:pPr>
      <w:r w:rsidRPr="004B77D6">
        <w:rPr>
          <w:rFonts w:ascii="Calibri" w:hAnsi="Calibri"/>
          <w:b/>
          <w:szCs w:val="24"/>
        </w:rPr>
        <w:t>INSTRUKCJA PRZYGOTOWANIA STUDIUM WYKONALNOŚCI INWESTYCJI</w:t>
      </w:r>
      <w:r w:rsidRPr="004B77D6">
        <w:rPr>
          <w:rFonts w:ascii="Calibri" w:hAnsi="Calibri"/>
          <w:szCs w:val="24"/>
        </w:rPr>
        <w:t>.</w:t>
      </w:r>
    </w:p>
    <w:p w14:paraId="70635F35" w14:textId="2AC489DF" w:rsidR="00C2071D" w:rsidRPr="004B77D6" w:rsidRDefault="00C2071D" w:rsidP="00C2071D">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2" w:name="_Toc477857425"/>
      <w:bookmarkStart w:id="3" w:name="_Toc127344049"/>
      <w:bookmarkStart w:id="4" w:name="_Toc184900788"/>
      <w:r w:rsidRPr="004B77D6">
        <w:rPr>
          <w:rFonts w:ascii="Calibri" w:hAnsi="Calibri"/>
          <w:sz w:val="24"/>
          <w:szCs w:val="24"/>
        </w:rPr>
        <w:t>SŁOWNIK POJĘĆ</w:t>
      </w:r>
      <w:bookmarkEnd w:id="2"/>
      <w:bookmarkEnd w:id="3"/>
      <w:bookmarkEnd w:id="4"/>
    </w:p>
    <w:p w14:paraId="2F487881" w14:textId="77777777" w:rsidR="00C2071D" w:rsidRPr="004B77D6" w:rsidRDefault="00C2071D" w:rsidP="0089006E">
      <w:pPr>
        <w:numPr>
          <w:ilvl w:val="0"/>
          <w:numId w:val="45"/>
        </w:numPr>
        <w:suppressAutoHyphens w:val="0"/>
        <w:spacing w:after="120" w:line="276" w:lineRule="auto"/>
        <w:ind w:left="0" w:firstLine="0"/>
        <w:rPr>
          <w:rFonts w:asciiTheme="minorHAnsi" w:hAnsiTheme="minorHAnsi" w:cstheme="minorHAnsi"/>
          <w:bCs/>
          <w:szCs w:val="24"/>
        </w:rPr>
      </w:pPr>
      <w:r w:rsidRPr="004B77D6">
        <w:rPr>
          <w:rFonts w:asciiTheme="minorHAnsi" w:hAnsiTheme="minorHAnsi" w:cstheme="minorHAnsi"/>
          <w:b/>
          <w:szCs w:val="24"/>
        </w:rPr>
        <w:t xml:space="preserve">Analiza efektywności kosztowej (AEK) </w:t>
      </w:r>
      <w:r w:rsidRPr="004B77D6">
        <w:rPr>
          <w:rFonts w:asciiTheme="minorHAnsi" w:hAnsiTheme="minorHAnsi" w:cstheme="minorHAnsi"/>
          <w:bCs/>
          <w:szCs w:val="24"/>
        </w:rPr>
        <w:t xml:space="preserve">(ang. </w:t>
      </w:r>
      <w:proofErr w:type="spellStart"/>
      <w:r w:rsidRPr="004B77D6">
        <w:rPr>
          <w:rFonts w:asciiTheme="minorHAnsi" w:hAnsiTheme="minorHAnsi" w:cstheme="minorHAnsi"/>
          <w:bCs/>
          <w:i/>
          <w:szCs w:val="24"/>
        </w:rPr>
        <w:t>Cost</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Effectiveness</w:t>
      </w:r>
      <w:proofErr w:type="spellEnd"/>
      <w:r w:rsidRPr="004B77D6">
        <w:rPr>
          <w:rFonts w:asciiTheme="minorHAnsi" w:hAnsiTheme="minorHAnsi" w:cstheme="minorHAnsi"/>
          <w:bCs/>
          <w:i/>
          <w:szCs w:val="24"/>
        </w:rPr>
        <w:t xml:space="preserve"> Analysis – CEA</w:t>
      </w:r>
      <w:r w:rsidRPr="004B77D6">
        <w:rPr>
          <w:rFonts w:asciiTheme="minorHAnsi" w:hAnsiTheme="minorHAnsi" w:cstheme="minorHAnsi"/>
          <w:bCs/>
          <w:szCs w:val="24"/>
        </w:rPr>
        <w:t>)</w:t>
      </w:r>
      <w:r w:rsidRPr="004B77D6">
        <w:rPr>
          <w:rFonts w:asciiTheme="minorHAnsi" w:hAnsiTheme="minorHAnsi" w:cstheme="minorHAnsi"/>
          <w:szCs w:val="24"/>
        </w:rPr>
        <w:t>:</w:t>
      </w:r>
      <w:r w:rsidRPr="004B77D6">
        <w:rPr>
          <w:rFonts w:asciiTheme="minorHAnsi" w:hAnsiTheme="minorHAnsi" w:cstheme="minorHAnsi"/>
          <w:b/>
          <w:szCs w:val="24"/>
        </w:rPr>
        <w:t xml:space="preserve"> </w:t>
      </w:r>
      <w:r w:rsidRPr="004B77D6">
        <w:rPr>
          <w:rFonts w:asciiTheme="minorHAnsi" w:hAnsiTheme="minorHAnsi" w:cstheme="minorHAnsi"/>
          <w:bCs/>
          <w:szCs w:val="24"/>
        </w:rPr>
        <w:t xml:space="preserve">jest to metoda analizy efektywności projektów, którą stosuje się gdy zmierzenie korzyści </w:t>
      </w:r>
      <w:r w:rsidRPr="004B77D6">
        <w:rPr>
          <w:rFonts w:asciiTheme="minorHAnsi" w:hAnsiTheme="minorHAnsi" w:cstheme="minorHAnsi"/>
          <w:bCs/>
          <w:szCs w:val="24"/>
        </w:rPr>
        <w:br/>
        <w:t xml:space="preserve">w kategoriach pieniężnych nie jest 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w:t>
      </w:r>
      <w:r w:rsidRPr="004B77D6">
        <w:rPr>
          <w:rFonts w:asciiTheme="minorHAnsi" w:hAnsiTheme="minorHAnsi" w:cstheme="minorHAnsi"/>
          <w:bCs/>
          <w:szCs w:val="24"/>
        </w:rPr>
        <w:br/>
        <w:t xml:space="preserve">nie jest natomiast konieczne przypisanie korzyściom konkretnej wartości pieniężnej lub ekonomicznej. Przykładem analizy efektywności kosztowej jest analiza dynamicznego kosztu jednostkowego (ang. </w:t>
      </w:r>
      <w:proofErr w:type="spellStart"/>
      <w:r w:rsidRPr="004B77D6">
        <w:rPr>
          <w:rFonts w:asciiTheme="minorHAnsi" w:hAnsiTheme="minorHAnsi" w:cstheme="minorHAnsi"/>
          <w:bCs/>
          <w:i/>
          <w:szCs w:val="24"/>
        </w:rPr>
        <w:t>Dynamic</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Generation</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Cost</w:t>
      </w:r>
      <w:proofErr w:type="spellEnd"/>
      <w:r w:rsidRPr="004B77D6">
        <w:rPr>
          <w:rFonts w:asciiTheme="minorHAnsi" w:hAnsiTheme="minorHAnsi" w:cstheme="minorHAnsi"/>
          <w:bCs/>
          <w:i/>
          <w:szCs w:val="24"/>
        </w:rPr>
        <w:t xml:space="preserve"> – DGC</w:t>
      </w:r>
      <w:r w:rsidRPr="004B77D6">
        <w:rPr>
          <w:rFonts w:asciiTheme="minorHAnsi" w:hAnsiTheme="minorHAnsi" w:cstheme="minorHAnsi"/>
          <w:bCs/>
          <w:szCs w:val="24"/>
        </w:rPr>
        <w:t>).</w:t>
      </w:r>
    </w:p>
    <w:p w14:paraId="0A43B745" w14:textId="77777777" w:rsidR="00C2071D" w:rsidRPr="004B77D6" w:rsidRDefault="00C2071D" w:rsidP="0089006E">
      <w:pPr>
        <w:numPr>
          <w:ilvl w:val="0"/>
          <w:numId w:val="45"/>
        </w:numPr>
        <w:suppressAutoHyphens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Analiza ekonomiczna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 xml:space="preserve">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4B77D6">
        <w:rPr>
          <w:rFonts w:asciiTheme="minorHAnsi" w:hAnsiTheme="minorHAnsi" w:cstheme="minorHAnsi"/>
          <w:bCs/>
          <w:i/>
          <w:szCs w:val="24"/>
        </w:rPr>
        <w:t>Discounted</w:t>
      </w:r>
      <w:proofErr w:type="spellEnd"/>
      <w:r w:rsidRPr="004B77D6">
        <w:rPr>
          <w:rFonts w:asciiTheme="minorHAnsi" w:hAnsiTheme="minorHAnsi" w:cstheme="minorHAnsi"/>
          <w:bCs/>
          <w:i/>
          <w:szCs w:val="24"/>
        </w:rPr>
        <w:t xml:space="preserve"> Cash </w:t>
      </w:r>
      <w:proofErr w:type="spellStart"/>
      <w:r w:rsidRPr="004B77D6">
        <w:rPr>
          <w:rFonts w:asciiTheme="minorHAnsi" w:hAnsiTheme="minorHAnsi" w:cstheme="minorHAnsi"/>
          <w:bCs/>
          <w:i/>
          <w:szCs w:val="24"/>
        </w:rPr>
        <w:t>Flows</w:t>
      </w:r>
      <w:proofErr w:type="spellEnd"/>
      <w:r w:rsidRPr="004B77D6">
        <w:rPr>
          <w:rFonts w:asciiTheme="minorHAnsi" w:hAnsiTheme="minorHAnsi" w:cstheme="minorHAnsi"/>
          <w:bCs/>
          <w:i/>
          <w:szCs w:val="24"/>
        </w:rPr>
        <w:t xml:space="preserve"> – DCF</w:t>
      </w:r>
      <w:r w:rsidRPr="004B77D6">
        <w:rPr>
          <w:rFonts w:asciiTheme="minorHAnsi" w:hAnsiTheme="minorHAnsi" w:cstheme="minorHAnsi"/>
          <w:bCs/>
          <w:szCs w:val="24"/>
        </w:rPr>
        <w:t>).</w:t>
      </w:r>
    </w:p>
    <w:p w14:paraId="62DA93B4" w14:textId="418F1218" w:rsidR="00C2071D" w:rsidRPr="004B77D6" w:rsidRDefault="00C2071D" w:rsidP="0089006E">
      <w:pPr>
        <w:numPr>
          <w:ilvl w:val="0"/>
          <w:numId w:val="45"/>
        </w:numPr>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Analiza finansowa</w:t>
      </w:r>
      <w:r w:rsidRPr="004B77D6">
        <w:rPr>
          <w:rFonts w:asciiTheme="minorHAnsi" w:hAnsiTheme="minorHAnsi" w:cstheme="minorHAnsi"/>
          <w:bCs/>
          <w:szCs w:val="24"/>
        </w:rPr>
        <w:t>: analiza mająca na celu ustalenie wartości wskaźników efektywności finansowej projektu, weryfikację trwałości finansowej projektu oraz ustalenie właściwego (maksymalnego) dofinansowania z funduszy UE</w:t>
      </w:r>
      <w:r w:rsidRPr="004B77D6">
        <w:rPr>
          <w:rFonts w:asciiTheme="minorHAnsi" w:hAnsiTheme="minorHAnsi" w:cstheme="minorHAnsi"/>
          <w:bCs/>
          <w:szCs w:val="24"/>
          <w:vertAlign w:val="superscript"/>
        </w:rPr>
        <w:t>1</w:t>
      </w:r>
      <w:r w:rsidRPr="004B77D6">
        <w:rPr>
          <w:rFonts w:asciiTheme="minorHAnsi" w:hAnsiTheme="minorHAnsi" w:cstheme="minorHAnsi"/>
          <w:bCs/>
          <w:szCs w:val="24"/>
        </w:rPr>
        <w:t>. Dokonywana jest ona zazwyczaj z punktu widzenia właściciela infrastruktury. W przypadku, gdy w projekcie UE występuje kilka podmiotów (np. właściciel infrastruktury i jej operator), należy dokonać analizy skonsolidowanej całościowo pokazującej projekt</w:t>
      </w:r>
      <w:r w:rsidR="00EA2AAE" w:rsidRPr="004B77D6">
        <w:rPr>
          <w:rFonts w:asciiTheme="minorHAnsi" w:hAnsiTheme="minorHAnsi" w:cstheme="minorHAnsi"/>
          <w:bCs/>
          <w:szCs w:val="24"/>
        </w:rPr>
        <w:t xml:space="preserve">. </w:t>
      </w:r>
      <w:r w:rsidRPr="004B77D6">
        <w:rPr>
          <w:rFonts w:asciiTheme="minorHAnsi" w:hAnsiTheme="minorHAnsi" w:cstheme="minorHAnsi"/>
          <w:bCs/>
          <w:szCs w:val="24"/>
        </w:rPr>
        <w:t>W analizie finansowej, w celu ustalenia wskaźników efektywności finansowej oraz wyliczenia luki w finansowaniu, stosuje się metodę zdyskontowanych przepływów pieniężnych (DCF).</w:t>
      </w:r>
    </w:p>
    <w:p w14:paraId="76613EB9" w14:textId="020D59D0" w:rsidR="00C2071D" w:rsidRPr="004B77D6" w:rsidRDefault="00C2071D" w:rsidP="0089006E">
      <w:pPr>
        <w:numPr>
          <w:ilvl w:val="0"/>
          <w:numId w:val="45"/>
        </w:numPr>
        <w:spacing w:after="120" w:line="276" w:lineRule="auto"/>
        <w:ind w:left="0" w:firstLine="0"/>
        <w:rPr>
          <w:rFonts w:asciiTheme="minorHAnsi" w:hAnsiTheme="minorHAnsi" w:cstheme="minorHAnsi"/>
          <w:i/>
          <w:color w:val="000000" w:themeColor="text1"/>
          <w:szCs w:val="24"/>
        </w:rPr>
      </w:pPr>
      <w:r w:rsidRPr="004B77D6">
        <w:rPr>
          <w:rFonts w:asciiTheme="minorHAnsi" w:hAnsiTheme="minorHAnsi" w:cstheme="minorHAnsi"/>
          <w:b/>
          <w:bCs/>
          <w:szCs w:val="24"/>
        </w:rPr>
        <w:t>Analiza kosztów i korzyści (AKK/CBA)</w:t>
      </w:r>
      <w:r w:rsidRPr="004B77D6">
        <w:rPr>
          <w:rFonts w:asciiTheme="minorHAnsi" w:hAnsiTheme="minorHAnsi" w:cstheme="minorHAnsi"/>
          <w:b/>
          <w:bCs/>
          <w:szCs w:val="24"/>
          <w:vertAlign w:val="superscript"/>
        </w:rPr>
        <w:t>2</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analiza mająca na celu ustalenie, czy lub </w:t>
      </w:r>
      <w:r w:rsidRPr="004B77D6">
        <w:rPr>
          <w:rFonts w:asciiTheme="minorHAnsi" w:hAnsiTheme="minorHAnsi" w:cstheme="minorHAnsi"/>
          <w:szCs w:val="24"/>
        </w:rPr>
        <w:br/>
        <w:t xml:space="preserve">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4B77D6">
        <w:rPr>
          <w:rFonts w:asciiTheme="minorHAnsi" w:hAnsiTheme="minorHAnsi" w:cstheme="minorHAnsi"/>
          <w:i/>
          <w:szCs w:val="24"/>
        </w:rPr>
        <w:t>benefits</w:t>
      </w:r>
      <w:proofErr w:type="spellEnd"/>
      <w:r w:rsidRPr="004B77D6">
        <w:rPr>
          <w:rFonts w:asciiTheme="minorHAnsi" w:hAnsiTheme="minorHAnsi" w:cstheme="minorHAnsi"/>
          <w:szCs w:val="24"/>
        </w:rPr>
        <w:t xml:space="preserve">) i straty </w:t>
      </w:r>
      <w:r w:rsidRPr="004B77D6">
        <w:rPr>
          <w:rFonts w:asciiTheme="minorHAnsi" w:hAnsiTheme="minorHAnsi" w:cstheme="minorHAnsi"/>
          <w:szCs w:val="24"/>
        </w:rPr>
        <w:lastRenderedPageBreak/>
        <w:t xml:space="preserve">(koszty – ang. </w:t>
      </w:r>
      <w:proofErr w:type="spellStart"/>
      <w:r w:rsidRPr="004B77D6">
        <w:rPr>
          <w:rFonts w:asciiTheme="minorHAnsi" w:hAnsiTheme="minorHAnsi" w:cstheme="minorHAnsi"/>
          <w:i/>
          <w:szCs w:val="24"/>
        </w:rPr>
        <w:t>costs</w:t>
      </w:r>
      <w:proofErr w:type="spellEnd"/>
      <w:r w:rsidRPr="004B77D6">
        <w:rPr>
          <w:rFonts w:asciiTheme="minorHAnsi" w:hAnsiTheme="minorHAnsi" w:cstheme="minorHAnsi"/>
          <w:szCs w:val="24"/>
        </w:rPr>
        <w:t xml:space="preserve">), niezależnie od tego, czy ponosi je podmiot realizujący inwestycję, czy też społeczeństwo.  AKK przybiera często postać analizy ekonomicznej, w której koryguje się wyniki analizy finansowej o efekty fiskalne, efekty zewnętrzne oraz ceny rozrachunkowe. Wyniki AKK można wyrazić na wiele sposobów, w tym w postaci ekonomicznej wewnętrznej stopy zwrotu, ekonomicznej bieżącej wartości netto oraz współczynnika korzyści/koszty. Szczegółowe informacje na temat metodyki przeprowadzania analizy kosztów i korzyści można znaleźć w </w:t>
      </w:r>
      <w:r w:rsidRPr="004B77D6">
        <w:rPr>
          <w:rFonts w:asciiTheme="minorHAnsi" w:hAnsiTheme="minorHAnsi" w:cstheme="minorHAnsi"/>
          <w:color w:val="000000" w:themeColor="text1"/>
          <w:szCs w:val="24"/>
        </w:rPr>
        <w:t xml:space="preserve">Rozdziale 7 </w:t>
      </w:r>
      <w:r w:rsidR="00EA2AAE" w:rsidRPr="00C94172">
        <w:rPr>
          <w:rFonts w:asciiTheme="minorHAnsi" w:hAnsiTheme="minorHAnsi" w:cstheme="minorHAnsi"/>
          <w:i/>
          <w:iCs/>
          <w:color w:val="000000" w:themeColor="text1"/>
          <w:szCs w:val="24"/>
        </w:rPr>
        <w:t xml:space="preserve">Wytycznych dotyczących zagadnień związanych </w:t>
      </w:r>
      <w:r w:rsidR="00C94172" w:rsidRPr="00C94172">
        <w:rPr>
          <w:rFonts w:asciiTheme="minorHAnsi" w:hAnsiTheme="minorHAnsi" w:cstheme="minorHAnsi"/>
          <w:i/>
          <w:iCs/>
          <w:color w:val="000000" w:themeColor="text1"/>
          <w:szCs w:val="24"/>
        </w:rPr>
        <w:t xml:space="preserve"> </w:t>
      </w:r>
      <w:r w:rsidR="00EA2AAE" w:rsidRPr="00C94172">
        <w:rPr>
          <w:rFonts w:asciiTheme="minorHAnsi" w:hAnsiTheme="minorHAnsi" w:cstheme="minorHAnsi"/>
          <w:i/>
          <w:iCs/>
          <w:color w:val="000000" w:themeColor="text1"/>
          <w:szCs w:val="24"/>
        </w:rPr>
        <w:t>z przygotowaniem projektów inwestycyjnych, w tym hybrydowych na lata 2021-2027</w:t>
      </w:r>
      <w:r w:rsidRPr="004B77D6">
        <w:rPr>
          <w:rFonts w:asciiTheme="minorHAnsi" w:hAnsiTheme="minorHAnsi" w:cstheme="minorHAnsi"/>
          <w:color w:val="000000" w:themeColor="text1"/>
          <w:szCs w:val="24"/>
        </w:rPr>
        <w:t xml:space="preserve">. </w:t>
      </w:r>
    </w:p>
    <w:p w14:paraId="0BB03359" w14:textId="77777777" w:rsidR="00C2071D" w:rsidRPr="004B77D6" w:rsidRDefault="00C2071D" w:rsidP="0089006E">
      <w:pPr>
        <w:numPr>
          <w:ilvl w:val="0"/>
          <w:numId w:val="45"/>
        </w:numPr>
        <w:suppressAutoHyphens w:val="0"/>
        <w:spacing w:after="120" w:line="276" w:lineRule="auto"/>
        <w:ind w:left="0" w:firstLine="0"/>
        <w:rPr>
          <w:rFonts w:asciiTheme="minorHAnsi" w:hAnsiTheme="minorHAnsi" w:cstheme="minorHAnsi"/>
          <w:b/>
          <w:bCs/>
          <w:szCs w:val="24"/>
        </w:rPr>
      </w:pPr>
      <w:r w:rsidRPr="004B77D6">
        <w:rPr>
          <w:rFonts w:asciiTheme="minorHAnsi" w:hAnsiTheme="minorHAnsi" w:cstheme="minorHAnsi"/>
          <w:b/>
          <w:bCs/>
          <w:szCs w:val="24"/>
        </w:rPr>
        <w:t>Analiza ryzyka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 xml:space="preserve">analiza, której celem jest ustalenie </w:t>
      </w:r>
      <w:r w:rsidRPr="004B77D6">
        <w:rPr>
          <w:rFonts w:asciiTheme="minorHAnsi" w:hAnsiTheme="minorHAnsi" w:cstheme="minorHAnsi"/>
          <w:szCs w:val="24"/>
        </w:rPr>
        <w:t>prawdopodobieństwa wygenerowania przez projekt określonych wyników, jak również ustalenie najbardziej prawdopodobnego przedziału odchyleń tych wyników od wartości reprezentującej najbardziej dokładny ich szacunek.</w:t>
      </w:r>
    </w:p>
    <w:p w14:paraId="01AEA5CB" w14:textId="77777777" w:rsidR="00C2071D" w:rsidRPr="004B77D6" w:rsidRDefault="00C2071D" w:rsidP="0089006E">
      <w:pPr>
        <w:numPr>
          <w:ilvl w:val="0"/>
          <w:numId w:val="45"/>
        </w:numPr>
        <w:suppressAutoHyphens w:val="0"/>
        <w:spacing w:after="120" w:line="276" w:lineRule="auto"/>
        <w:ind w:left="0" w:firstLine="0"/>
        <w:rPr>
          <w:rFonts w:asciiTheme="minorHAnsi" w:hAnsiTheme="minorHAnsi" w:cstheme="minorHAnsi"/>
          <w:b/>
          <w:bCs/>
          <w:szCs w:val="24"/>
        </w:rPr>
      </w:pPr>
      <w:r w:rsidRPr="004B77D6">
        <w:rPr>
          <w:rFonts w:asciiTheme="minorHAnsi" w:hAnsiTheme="minorHAnsi" w:cstheme="minorHAnsi"/>
          <w:b/>
          <w:bCs/>
          <w:szCs w:val="24"/>
        </w:rPr>
        <w:t>Analiza skonsolidowana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szczególne podejście w ramach analizy finansowej, stosowane w przypadku projektów realizowanych w systemie kilku podmiotów, w których:</w:t>
      </w:r>
    </w:p>
    <w:p w14:paraId="241B02A9" w14:textId="77777777" w:rsidR="00C2071D" w:rsidRPr="004B77D6" w:rsidRDefault="00C2071D" w:rsidP="0089006E">
      <w:pPr>
        <w:numPr>
          <w:ilvl w:val="0"/>
          <w:numId w:val="49"/>
        </w:numPr>
        <w:suppressAutoHyphens w:val="0"/>
        <w:spacing w:after="120" w:line="276" w:lineRule="auto"/>
        <w:ind w:left="426" w:hanging="425"/>
        <w:rPr>
          <w:rFonts w:asciiTheme="minorHAnsi" w:hAnsiTheme="minorHAnsi" w:cstheme="minorHAnsi"/>
          <w:szCs w:val="24"/>
        </w:rPr>
      </w:pPr>
      <w:r w:rsidRPr="004B77D6">
        <w:rPr>
          <w:rFonts w:asciiTheme="minorHAnsi" w:hAnsiTheme="minorHAnsi" w:cstheme="minorHAnsi"/>
          <w:szCs w:val="24"/>
        </w:rPr>
        <w:t>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3B41E3CA" w14:textId="77777777" w:rsidR="00C2071D" w:rsidRPr="004B77D6" w:rsidRDefault="00C2071D" w:rsidP="0089006E">
      <w:pPr>
        <w:numPr>
          <w:ilvl w:val="0"/>
          <w:numId w:val="49"/>
        </w:numPr>
        <w:suppressAutoHyphens w:val="0"/>
        <w:spacing w:after="120" w:line="276" w:lineRule="auto"/>
        <w:ind w:left="426" w:hanging="425"/>
        <w:rPr>
          <w:rFonts w:asciiTheme="minorHAnsi" w:hAnsiTheme="minorHAnsi" w:cstheme="minorHAnsi"/>
          <w:szCs w:val="24"/>
        </w:rPr>
      </w:pPr>
      <w:r w:rsidRPr="004B77D6">
        <w:rPr>
          <w:rFonts w:asciiTheme="minorHAnsi" w:hAnsiTheme="minorHAnsi" w:cstheme="minorHAnsi"/>
          <w:szCs w:val="24"/>
        </w:rPr>
        <w:t>występuje wiele podmiotów (system wielu podmiotów).</w:t>
      </w:r>
    </w:p>
    <w:p w14:paraId="69CC976B" w14:textId="633084A0" w:rsidR="00C2071D" w:rsidRPr="004B77D6" w:rsidRDefault="00C2071D" w:rsidP="00F3330D">
      <w:pPr>
        <w:suppressAutoHyphens w:val="0"/>
        <w:spacing w:after="120" w:line="276" w:lineRule="auto"/>
        <w:ind w:left="426"/>
        <w:rPr>
          <w:rFonts w:asciiTheme="minorHAnsi" w:hAnsiTheme="minorHAnsi" w:cstheme="minorHAnsi"/>
          <w:b/>
          <w:bCs/>
          <w:szCs w:val="24"/>
        </w:rPr>
      </w:pPr>
      <w:r w:rsidRPr="004B77D6">
        <w:rPr>
          <w:rFonts w:asciiTheme="minorHAnsi" w:hAnsiTheme="minorHAnsi" w:cstheme="minorHAnsi"/>
          <w:szCs w:val="24"/>
        </w:rPr>
        <w:t xml:space="preserve">W przypadku analizowania projektu, w którego realizację zaangażowany jest więcej </w:t>
      </w:r>
      <w:r w:rsidRPr="004B77D6">
        <w:rPr>
          <w:rFonts w:asciiTheme="minorHAnsi" w:hAnsiTheme="minorHAnsi" w:cstheme="minorHAnsi"/>
          <w:szCs w:val="24"/>
        </w:rPr>
        <w:br/>
        <w:t xml:space="preserve">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00EA2AAE" w:rsidRPr="004B77D6">
        <w:rPr>
          <w:rFonts w:asciiTheme="minorHAnsi" w:hAnsiTheme="minorHAnsi" w:cstheme="minorHAnsi"/>
          <w:szCs w:val="24"/>
        </w:rPr>
        <w:br/>
      </w:r>
      <w:r w:rsidRPr="004B77D6">
        <w:rPr>
          <w:rFonts w:asciiTheme="minorHAnsi" w:hAnsiTheme="minorHAnsi" w:cstheme="minorHAnsi"/>
          <w:szCs w:val="24"/>
        </w:rPr>
        <w:t xml:space="preserve">w realizację projektu i wyeliminowanie wzajemnych rozliczeń między nimi związanych </w:t>
      </w:r>
      <w:r w:rsidR="00EA2AAE" w:rsidRPr="004B77D6">
        <w:rPr>
          <w:rFonts w:asciiTheme="minorHAnsi" w:hAnsiTheme="minorHAnsi" w:cstheme="minorHAnsi"/>
          <w:szCs w:val="24"/>
        </w:rPr>
        <w:br/>
      </w:r>
      <w:r w:rsidRPr="004B77D6">
        <w:rPr>
          <w:rFonts w:asciiTheme="minorHAnsi" w:hAnsiTheme="minorHAnsi" w:cstheme="minorHAnsi"/>
          <w:szCs w:val="24"/>
        </w:rPr>
        <w:t>z realizacją projektu). Dla potrzeb dalszych analiz (analizy ekonomicznej oraz analizy ryzyka i wrażliwości) należy wykorzystywać wyniki analizy skonsolidowanej.</w:t>
      </w:r>
    </w:p>
    <w:p w14:paraId="68D9D84F" w14:textId="77777777" w:rsidR="00C2071D" w:rsidRPr="004B77D6" w:rsidRDefault="00C2071D" w:rsidP="0089006E">
      <w:pPr>
        <w:pStyle w:val="Akapitzlist"/>
        <w:numPr>
          <w:ilvl w:val="0"/>
          <w:numId w:val="52"/>
        </w:numPr>
        <w:spacing w:after="120"/>
        <w:ind w:left="0" w:firstLine="0"/>
        <w:rPr>
          <w:rFonts w:asciiTheme="minorHAnsi" w:hAnsiTheme="minorHAnsi" w:cstheme="minorHAnsi"/>
          <w:sz w:val="24"/>
          <w:szCs w:val="24"/>
        </w:rPr>
      </w:pPr>
      <w:r w:rsidRPr="004B77D6">
        <w:rPr>
          <w:rFonts w:asciiTheme="minorHAnsi" w:hAnsiTheme="minorHAnsi" w:cstheme="minorHAnsi"/>
          <w:b/>
          <w:bCs/>
          <w:sz w:val="24"/>
          <w:szCs w:val="24"/>
        </w:rPr>
        <w:t>Analiza trwałości finansowej</w:t>
      </w:r>
      <w:r w:rsidRPr="004B77D6">
        <w:rPr>
          <w:rFonts w:asciiTheme="minorHAnsi" w:hAnsiTheme="minorHAnsi" w:cstheme="minorHAnsi"/>
          <w:bCs/>
          <w:sz w:val="24"/>
          <w:szCs w:val="24"/>
        </w:rPr>
        <w:t>:</w:t>
      </w:r>
      <w:r w:rsidRPr="004B77D6">
        <w:rPr>
          <w:rFonts w:asciiTheme="minorHAnsi" w:hAnsiTheme="minorHAnsi" w:cstheme="minorHAnsi"/>
          <w:b/>
          <w:bCs/>
          <w:sz w:val="24"/>
          <w:szCs w:val="24"/>
        </w:rPr>
        <w:t xml:space="preserve"> </w:t>
      </w:r>
      <w:r w:rsidRPr="004B77D6">
        <w:rPr>
          <w:rFonts w:asciiTheme="minorHAnsi" w:hAnsiTheme="minorHAnsi" w:cstheme="minorHAnsi"/>
          <w:bCs/>
          <w:sz w:val="24"/>
          <w:szCs w:val="24"/>
        </w:rPr>
        <w:t xml:space="preserve">analiza mająca </w:t>
      </w:r>
      <w:r w:rsidRPr="004B77D6">
        <w:rPr>
          <w:rFonts w:asciiTheme="minorHAnsi" w:hAnsiTheme="minorHAnsi" w:cstheme="minorHAnsi"/>
          <w:sz w:val="24"/>
          <w:szCs w:val="24"/>
        </w:rPr>
        <w:t xml:space="preserve">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sidRPr="004B77D6">
        <w:rPr>
          <w:rFonts w:asciiTheme="minorHAnsi" w:hAnsiTheme="minorHAnsi" w:cstheme="minorHAnsi"/>
          <w:sz w:val="24"/>
          <w:szCs w:val="24"/>
        </w:rPr>
        <w:br/>
        <w:t>z projektem. Należy ją przeprowadzać w wartościach niezdyskontowanych.</w:t>
      </w:r>
    </w:p>
    <w:p w14:paraId="084C32E2" w14:textId="77777777"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lastRenderedPageBreak/>
        <w:t xml:space="preserve"> Analiza wrażliwości</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analiza umożliwiająca systematyczne badanie tego, co dzieje się </w:t>
      </w:r>
      <w:r w:rsidRPr="004B77D6">
        <w:rPr>
          <w:rFonts w:asciiTheme="minorHAnsi" w:hAnsiTheme="minorHAnsi" w:cstheme="minorHAnsi"/>
          <w:szCs w:val="24"/>
        </w:rPr>
        <w:br/>
        <w:t xml:space="preserve">z wynikami projektu w sytuacji, kiedy zdarzenia odbiegają od ich wartości szacunkowych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 (por. </w:t>
      </w:r>
      <w:r w:rsidRPr="004B77D6">
        <w:rPr>
          <w:rFonts w:asciiTheme="minorHAnsi" w:hAnsiTheme="minorHAnsi" w:cstheme="minorHAnsi"/>
          <w:i/>
          <w:szCs w:val="24"/>
        </w:rPr>
        <w:t>Przewodnik AKK</w:t>
      </w:r>
      <w:r w:rsidRPr="004B77D6">
        <w:rPr>
          <w:rFonts w:asciiTheme="minorHAnsi" w:hAnsiTheme="minorHAnsi" w:cstheme="minorHAnsi"/>
          <w:szCs w:val="24"/>
        </w:rPr>
        <w:t>).</w:t>
      </w:r>
    </w:p>
    <w:p w14:paraId="6E48B5F5" w14:textId="77777777"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Bieżąca wartość netto </w:t>
      </w:r>
      <w:r w:rsidRPr="004B77D6">
        <w:rPr>
          <w:rFonts w:asciiTheme="minorHAnsi" w:hAnsiTheme="minorHAnsi" w:cstheme="minorHAnsi"/>
          <w:bCs/>
          <w:szCs w:val="24"/>
        </w:rPr>
        <w:t xml:space="preserve">(ang. </w:t>
      </w:r>
      <w:r w:rsidRPr="004B77D6">
        <w:rPr>
          <w:rFonts w:asciiTheme="minorHAnsi" w:hAnsiTheme="minorHAnsi" w:cstheme="minorHAnsi"/>
          <w:bCs/>
          <w:i/>
          <w:szCs w:val="24"/>
        </w:rPr>
        <w:t xml:space="preserve">Net </w:t>
      </w:r>
      <w:proofErr w:type="spellStart"/>
      <w:r w:rsidRPr="004B77D6">
        <w:rPr>
          <w:rFonts w:asciiTheme="minorHAnsi" w:hAnsiTheme="minorHAnsi" w:cstheme="minorHAnsi"/>
          <w:bCs/>
          <w:i/>
          <w:szCs w:val="24"/>
        </w:rPr>
        <w:t>Present</w:t>
      </w:r>
      <w:proofErr w:type="spellEnd"/>
      <w:r w:rsidRPr="004B77D6">
        <w:rPr>
          <w:rFonts w:asciiTheme="minorHAnsi" w:hAnsiTheme="minorHAnsi" w:cstheme="minorHAnsi"/>
          <w:bCs/>
          <w:i/>
          <w:szCs w:val="24"/>
        </w:rPr>
        <w:t xml:space="preserve"> Value</w:t>
      </w:r>
      <w:r w:rsidRPr="004B77D6">
        <w:rPr>
          <w:rFonts w:asciiTheme="minorHAnsi" w:hAnsiTheme="minorHAnsi" w:cstheme="minorHAnsi"/>
          <w:bCs/>
          <w:szCs w:val="24"/>
        </w:rPr>
        <w:t xml:space="preserve"> – NPV):</w:t>
      </w:r>
      <w:r w:rsidRPr="004B77D6">
        <w:rPr>
          <w:rFonts w:asciiTheme="minorHAnsi" w:hAnsiTheme="minorHAnsi" w:cstheme="minorHAnsi"/>
          <w:szCs w:val="24"/>
        </w:rPr>
        <w:t xml:space="preserve"> suma zdyskontowanych oddzielnie dla każdego roku przepływów pieniężnych netto (różnica pomiędzy wpływami </w:t>
      </w:r>
      <w:r w:rsidRPr="004B77D6">
        <w:rPr>
          <w:rFonts w:asciiTheme="minorHAnsi" w:hAnsiTheme="minorHAnsi" w:cstheme="minorHAnsi"/>
          <w:szCs w:val="24"/>
        </w:rPr>
        <w:br/>
        <w:t xml:space="preserve">i wydatkami) zaobserwowanych w całym okresie odniesienia, przy założonym stałym poziomie stopy dyskontowej. W ramach analizy finansowej wylicza się finansową bieżącą wartość netto – FNPV. </w:t>
      </w:r>
    </w:p>
    <w:p w14:paraId="76795822" w14:textId="77777777" w:rsidR="00C2071D" w:rsidRPr="004B77D6" w:rsidRDefault="00C2071D" w:rsidP="00F3330D">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Wyróżnia się finansową bieżącą wartość netto inwestycji (FNPV/C), która jest sumą zdyskontowanych strumieni pieniężnych netto generowanych przez projekt obliczoną bez względu na strukturę finansowania projektu oraz finansową bieżącą wartość netto kapitału (FNPV/K), będącą sumą zdyskontowanych strumieni pieniężnych netto wygenerowanych </w:t>
      </w:r>
      <w:r w:rsidRPr="004B77D6">
        <w:rPr>
          <w:rFonts w:asciiTheme="minorHAnsi" w:hAnsiTheme="minorHAnsi" w:cstheme="minorHAnsi"/>
          <w:szCs w:val="24"/>
        </w:rPr>
        <w:br/>
        <w:t xml:space="preserve">dla beneficjenta w wyniku realizacji rozważanej inwestycji, pozwalającą ocenić rentowność zaangażowanych środków własnych. </w:t>
      </w:r>
    </w:p>
    <w:p w14:paraId="2837125B" w14:textId="77777777" w:rsidR="00C2071D" w:rsidRPr="004B77D6" w:rsidRDefault="00C2071D" w:rsidP="00CB5F67">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ramach analizy ekonomicznej ustala się ekonomiczną bieżącą wartość netto </w:t>
      </w:r>
      <w:r w:rsidRPr="004B77D6">
        <w:rPr>
          <w:rFonts w:asciiTheme="minorHAnsi" w:hAnsiTheme="minorHAnsi" w:cstheme="minorHAnsi"/>
          <w:bCs/>
          <w:szCs w:val="24"/>
        </w:rPr>
        <w:t>–</w:t>
      </w:r>
      <w:r w:rsidRPr="004B77D6">
        <w:rPr>
          <w:rFonts w:asciiTheme="minorHAnsi" w:hAnsiTheme="minorHAnsi" w:cstheme="minorHAnsi"/>
          <w:szCs w:val="24"/>
        </w:rPr>
        <w:t xml:space="preserve"> ENPV. Ekonomiczna bieżąca wartość netto (ENPV) jest sumą zdyskontowanych oddzielnie </w:t>
      </w:r>
      <w:r w:rsidRPr="004B77D6">
        <w:rPr>
          <w:rFonts w:asciiTheme="minorHAnsi" w:hAnsiTheme="minorHAnsi" w:cstheme="minorHAnsi"/>
          <w:szCs w:val="24"/>
        </w:rPr>
        <w:br/>
        <w:t xml:space="preserve">dla każdego roku korzyści społecznych netto (różnica ogółu zdyskontowanych korzyści społecznych i kosztów społecznych związanych z projektem) zaobserwowanych w całym okresie odniesienia, przy założonym stałym poziomie społecznej stopy dyskontowej. </w:t>
      </w:r>
    </w:p>
    <w:p w14:paraId="63C7E63A" w14:textId="74284687" w:rsidR="00C2071D" w:rsidRPr="004B77D6" w:rsidRDefault="00C2071D" w:rsidP="00F3330D">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Szczegółowy zakres przepływów pieniężnych uwzględnianych w celu wyliczenia poszczególnych wskaźników oraz wzory dla ich wyliczenia przedstawiono w </w:t>
      </w:r>
      <w:r w:rsidRPr="004B77D6">
        <w:rPr>
          <w:rFonts w:asciiTheme="minorHAnsi" w:hAnsiTheme="minorHAnsi" w:cstheme="minorHAnsi"/>
          <w:color w:val="000000" w:themeColor="text1"/>
          <w:szCs w:val="24"/>
        </w:rPr>
        <w:t xml:space="preserve">Załączniku 1 </w:t>
      </w:r>
      <w:r w:rsidRPr="004B77D6">
        <w:rPr>
          <w:rFonts w:asciiTheme="minorHAnsi" w:hAnsiTheme="minorHAnsi" w:cstheme="minorHAnsi"/>
          <w:color w:val="000000" w:themeColor="text1"/>
          <w:szCs w:val="24"/>
        </w:rPr>
        <w:br/>
        <w:t xml:space="preserve">do </w:t>
      </w:r>
      <w:r w:rsidR="00EA2AAE" w:rsidRPr="004B77D6">
        <w:rPr>
          <w:rFonts w:asciiTheme="minorHAnsi" w:hAnsiTheme="minorHAnsi" w:cstheme="minorHAnsi"/>
          <w:color w:val="000000" w:themeColor="text1"/>
          <w:szCs w:val="24"/>
        </w:rPr>
        <w:t>Wytycznych dotyczących zagadnień związanych z przygotowaniem projektów inwestycyjnych, w tym hybrydowych na lata 2021-2027</w:t>
      </w:r>
      <w:r w:rsidR="00EA2AAE" w:rsidRPr="004B77D6">
        <w:rPr>
          <w:rFonts w:asciiTheme="minorHAnsi" w:hAnsiTheme="minorHAnsi" w:cstheme="minorHAnsi"/>
          <w:i/>
          <w:color w:val="000000" w:themeColor="text1"/>
          <w:szCs w:val="24"/>
        </w:rPr>
        <w:t>.</w:t>
      </w:r>
      <w:r w:rsidRPr="004B77D6">
        <w:rPr>
          <w:rFonts w:asciiTheme="minorHAnsi" w:hAnsiTheme="minorHAnsi" w:cstheme="minorHAnsi"/>
          <w:i/>
          <w:color w:val="000000" w:themeColor="text1"/>
          <w:szCs w:val="24"/>
        </w:rPr>
        <w:t xml:space="preserve"> </w:t>
      </w:r>
    </w:p>
    <w:p w14:paraId="06D82F9E" w14:textId="5ACAF4CD"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Całkowity koszt projektu/inwestycji:</w:t>
      </w:r>
      <w:r w:rsidRPr="004B77D6">
        <w:rPr>
          <w:rFonts w:asciiTheme="minorHAnsi" w:hAnsiTheme="minorHAnsi" w:cstheme="minorHAnsi"/>
          <w:szCs w:val="24"/>
        </w:rPr>
        <w:t xml:space="preserve"> wydatki kwalifikowalne i niekwalifikowalne </w:t>
      </w:r>
      <w:r w:rsidRPr="004B77D6">
        <w:rPr>
          <w:rFonts w:asciiTheme="minorHAnsi" w:hAnsiTheme="minorHAnsi" w:cstheme="minorHAnsi"/>
          <w:szCs w:val="24"/>
        </w:rPr>
        <w:br/>
        <w:t xml:space="preserve">w rozumieniu </w:t>
      </w:r>
      <w:r w:rsidRPr="00C94172">
        <w:rPr>
          <w:rFonts w:asciiTheme="minorHAnsi" w:hAnsiTheme="minorHAnsi" w:cstheme="minorHAnsi"/>
          <w:i/>
          <w:iCs/>
          <w:szCs w:val="24"/>
        </w:rPr>
        <w:t>Wytycznych w zakresie kwalifikowalności wydatków</w:t>
      </w:r>
      <w:r w:rsidRPr="004B77D6">
        <w:rPr>
          <w:rFonts w:asciiTheme="minorHAnsi" w:hAnsiTheme="minorHAnsi" w:cstheme="minorHAnsi"/>
          <w:szCs w:val="24"/>
        </w:rPr>
        <w:t>,</w:t>
      </w:r>
      <w:r w:rsidRPr="004B77D6">
        <w:rPr>
          <w:rFonts w:asciiTheme="minorHAnsi" w:hAnsiTheme="minorHAnsi" w:cstheme="minorHAnsi"/>
          <w:i/>
          <w:szCs w:val="24"/>
        </w:rPr>
        <w:t xml:space="preserve"> </w:t>
      </w:r>
      <w:r w:rsidRPr="004B77D6">
        <w:rPr>
          <w:rFonts w:asciiTheme="minorHAnsi" w:hAnsiTheme="minorHAnsi" w:cstheme="minorHAnsi"/>
          <w:szCs w:val="24"/>
        </w:rPr>
        <w:t xml:space="preserve">ponoszone do momentu ukończenia realizacji projektu. Obejmuje m.in. nakłady inwestycyjne na realizację projektu, powiększone o ewentualne rezerwy na nieprzewidziane wydatki (jeżeli instytucja zarządzająca przewiduje taką możliwość), koszty ogólne oraz inne koszty nie mające charakteru pieniężnego, o których mowa w ww. wytycznych, których wartość ustalana jest </w:t>
      </w:r>
      <w:r w:rsidRPr="004B77D6">
        <w:rPr>
          <w:rFonts w:asciiTheme="minorHAnsi" w:hAnsiTheme="minorHAnsi" w:cstheme="minorHAnsi"/>
          <w:szCs w:val="24"/>
        </w:rPr>
        <w:lastRenderedPageBreak/>
        <w:t xml:space="preserve">na zasadach określonych w tych wytycznych. Całkowity koszt inwestycji powinien zawierać podatek VAT, niezależnie od tego, czy podlega on zwrotowi.  </w:t>
      </w:r>
    </w:p>
    <w:p w14:paraId="64A36EF0" w14:textId="77777777" w:rsidR="002450D7" w:rsidRPr="004B77D6" w:rsidRDefault="002450D7"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Całkowity koszt kwalifikowalny projektu/inwestycji (EC)</w:t>
      </w:r>
      <w:r w:rsidRPr="004B77D6">
        <w:rPr>
          <w:rFonts w:asciiTheme="minorHAnsi" w:hAnsiTheme="minorHAnsi" w:cstheme="minorHAnsi"/>
          <w:szCs w:val="24"/>
        </w:rPr>
        <w:t xml:space="preserve">: wydatki kwalifikowalne </w:t>
      </w:r>
      <w:r w:rsidRPr="004B77D6">
        <w:rPr>
          <w:rFonts w:asciiTheme="minorHAnsi" w:hAnsiTheme="minorHAnsi" w:cstheme="minorHAnsi"/>
          <w:szCs w:val="24"/>
        </w:rPr>
        <w:br/>
        <w:t>w rozumieniu art. 63 rozporządzenia nr 2021/1060 oraz Wytycznych dot. kwalifikowalności wydatków na lata 2021-2027 ponoszone do momentu ukończenia projektu.</w:t>
      </w:r>
    </w:p>
    <w:p w14:paraId="2739AD97" w14:textId="11F54C68" w:rsidR="00C2071D" w:rsidRPr="004B77D6" w:rsidRDefault="002450D7"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szCs w:val="24"/>
        </w:rPr>
        <w:t xml:space="preserve"> </w:t>
      </w:r>
      <w:r w:rsidR="00C2071D" w:rsidRPr="004B77D6">
        <w:rPr>
          <w:rFonts w:asciiTheme="minorHAnsi" w:hAnsiTheme="minorHAnsi" w:cstheme="minorHAnsi"/>
          <w:b/>
          <w:bCs/>
          <w:szCs w:val="24"/>
        </w:rPr>
        <w:t xml:space="preserve">Ceny rozrachunkowe </w:t>
      </w:r>
      <w:r w:rsidR="00C2071D" w:rsidRPr="004B77D6">
        <w:rPr>
          <w:rFonts w:asciiTheme="minorHAnsi" w:hAnsiTheme="minorHAnsi" w:cstheme="minorHAnsi"/>
          <w:b/>
          <w:szCs w:val="24"/>
        </w:rPr>
        <w:t xml:space="preserve">ukryte </w:t>
      </w:r>
      <w:r w:rsidR="00C2071D" w:rsidRPr="004B77D6">
        <w:rPr>
          <w:rFonts w:asciiTheme="minorHAnsi" w:hAnsiTheme="minorHAnsi" w:cstheme="minorHAnsi"/>
          <w:szCs w:val="24"/>
        </w:rPr>
        <w:t xml:space="preserve">– (ang. </w:t>
      </w:r>
      <w:proofErr w:type="spellStart"/>
      <w:r w:rsidR="00C2071D" w:rsidRPr="004B77D6">
        <w:rPr>
          <w:rFonts w:asciiTheme="minorHAnsi" w:hAnsiTheme="minorHAnsi" w:cstheme="minorHAnsi"/>
          <w:i/>
          <w:szCs w:val="24"/>
        </w:rPr>
        <w:t>shadow</w:t>
      </w:r>
      <w:proofErr w:type="spellEnd"/>
      <w:r w:rsidR="00C2071D" w:rsidRPr="004B77D6">
        <w:rPr>
          <w:rFonts w:asciiTheme="minorHAnsi" w:hAnsiTheme="minorHAnsi" w:cstheme="minorHAnsi"/>
          <w:i/>
          <w:szCs w:val="24"/>
        </w:rPr>
        <w:t xml:space="preserve"> </w:t>
      </w:r>
      <w:proofErr w:type="spellStart"/>
      <w:r w:rsidR="00C2071D" w:rsidRPr="004B77D6">
        <w:rPr>
          <w:rFonts w:asciiTheme="minorHAnsi" w:hAnsiTheme="minorHAnsi" w:cstheme="minorHAnsi"/>
          <w:i/>
          <w:szCs w:val="24"/>
        </w:rPr>
        <w:t>prices</w:t>
      </w:r>
      <w:proofErr w:type="spellEnd"/>
      <w:r w:rsidR="00C2071D" w:rsidRPr="004B77D6">
        <w:rPr>
          <w:rFonts w:asciiTheme="minorHAnsi" w:hAnsiTheme="minorHAnsi" w:cstheme="minorHAnsi"/>
          <w:szCs w:val="24"/>
        </w:rPr>
        <w:t>)</w:t>
      </w:r>
      <w:r w:rsidR="00C2071D" w:rsidRPr="004B77D6">
        <w:rPr>
          <w:rFonts w:asciiTheme="minorHAnsi" w:hAnsiTheme="minorHAnsi" w:cstheme="minorHAnsi"/>
          <w:bCs/>
          <w:szCs w:val="24"/>
        </w:rPr>
        <w:t>:</w:t>
      </w:r>
      <w:r w:rsidR="00C2071D" w:rsidRPr="004B77D6">
        <w:rPr>
          <w:rFonts w:asciiTheme="minorHAnsi" w:hAnsiTheme="minorHAnsi" w:cstheme="minorHAnsi"/>
          <w:b/>
          <w:bCs/>
          <w:szCs w:val="24"/>
        </w:rPr>
        <w:t xml:space="preserve"> </w:t>
      </w:r>
      <w:r w:rsidR="00C2071D" w:rsidRPr="004B77D6">
        <w:rPr>
          <w:rFonts w:asciiTheme="minorHAnsi" w:hAnsiTheme="minorHAnsi" w:cstheme="minorHAnsi"/>
          <w:szCs w:val="24"/>
        </w:rPr>
        <w:t xml:space="preserve">alternatywny koszt dóbr, </w:t>
      </w:r>
      <w:r w:rsidR="00C2071D" w:rsidRPr="004B77D6">
        <w:rPr>
          <w:rFonts w:asciiTheme="minorHAnsi" w:hAnsiTheme="minorHAnsi" w:cstheme="minorHAnsi"/>
          <w:szCs w:val="24"/>
        </w:rPr>
        <w:br/>
        <w:t>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00C2071D" w:rsidRPr="004B77D6">
        <w:rPr>
          <w:rFonts w:asciiTheme="minorHAnsi" w:hAnsiTheme="minorHAnsi" w:cstheme="minorHAnsi"/>
          <w:i/>
          <w:szCs w:val="24"/>
        </w:rPr>
        <w:t>Przewodniku AKK</w:t>
      </w:r>
      <w:r w:rsidR="00C2071D" w:rsidRPr="004B77D6">
        <w:rPr>
          <w:rFonts w:asciiTheme="minorHAnsi" w:hAnsiTheme="minorHAnsi" w:cstheme="minorHAnsi"/>
          <w:szCs w:val="24"/>
        </w:rPr>
        <w:t>.</w:t>
      </w:r>
    </w:p>
    <w:p w14:paraId="058038BE" w14:textId="20C46FA9" w:rsidR="002450D7" w:rsidRPr="004B77D6" w:rsidRDefault="002450D7"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Ceny bieżące (</w:t>
      </w:r>
      <w:r w:rsidRPr="004B77D6">
        <w:rPr>
          <w:rFonts w:asciiTheme="minorHAnsi" w:hAnsiTheme="minorHAnsi" w:cstheme="minorHAnsi"/>
          <w:b/>
          <w:szCs w:val="24"/>
        </w:rPr>
        <w:t>nominalne)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są to ceny występujące faktycznie w danym czasie. </w:t>
      </w:r>
      <w:r w:rsidRPr="004B77D6">
        <w:rPr>
          <w:rFonts w:asciiTheme="minorHAnsi" w:hAnsiTheme="minorHAnsi" w:cstheme="minorHAnsi"/>
          <w:szCs w:val="24"/>
        </w:rPr>
        <w:br/>
        <w:t>Ceny takie uwzględniają efekt ogólnej inflacji i należy je odróżniać od cen stałych.</w:t>
      </w:r>
    </w:p>
    <w:p w14:paraId="6AC54CB9" w14:textId="3F7BE0C3" w:rsidR="00C2071D" w:rsidRPr="004B77D6" w:rsidRDefault="00C2071D" w:rsidP="0089006E">
      <w:pPr>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Ceny stałe (realne)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ceny według roku bazowego (tj. pierwszego roku przyjętego okresu odniesienia), których stosowanie pozwala wyeliminować wpływ inflacji na dane finansowe i ekonomiczne. Należy odróżniać je od cen bieżących.</w:t>
      </w:r>
    </w:p>
    <w:p w14:paraId="3E86474D" w14:textId="77777777"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Dostępność cenowa taryf</w:t>
      </w:r>
      <w:r w:rsidRPr="004B77D6">
        <w:rPr>
          <w:rFonts w:asciiTheme="minorHAnsi" w:hAnsiTheme="minorHAnsi" w:cstheme="minorHAnsi"/>
          <w:szCs w:val="24"/>
        </w:rPr>
        <w:t xml:space="preserve">: zasada mówiąca, iż poziom taryf powinien uwzględniać zdolność gospodarstw domowych do płacenia za dobra i usługi. Poziom taryf może zostać ustalony poprzez odniesienie się do określonego procentu dochodu do dyspozycji gospodarstw domowych. </w:t>
      </w:r>
    </w:p>
    <w:p w14:paraId="577C11BB" w14:textId="690C3F2E"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Dyskontowanie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proces dostosowywania przyszłej wartości kosztu lub korzyści do ich obecnej wartości przy użyciu stopy dyskontowej, w celu ujęcia zmiany wartości pieniądza </w:t>
      </w:r>
      <w:r w:rsidRPr="004B77D6">
        <w:rPr>
          <w:rFonts w:asciiTheme="minorHAnsi" w:hAnsiTheme="minorHAnsi" w:cstheme="minorHAnsi"/>
          <w:szCs w:val="24"/>
        </w:rPr>
        <w:br/>
        <w:t>w czasie. Dyskontowanie odbywa się poprzez przemnożenie przyszłej wartości kosztu lub korzyści przez współczynnik dyskontowy, który maleje wraz z upływem czasu. Wzór na współczynnik dyskontowy przedstawiony został w Załączniku 1 do</w:t>
      </w:r>
      <w:r w:rsidRPr="004B77D6">
        <w:rPr>
          <w:rFonts w:asciiTheme="minorHAnsi" w:hAnsiTheme="minorHAnsi" w:cstheme="minorHAnsi"/>
          <w:i/>
          <w:szCs w:val="24"/>
        </w:rPr>
        <w:t xml:space="preserve"> Wytycznych w zakresie zagadnień związanych z przygotowaniem projektów inwestycyjnych, w tym hybrydowych na lata 2021-2027</w:t>
      </w:r>
      <w:r w:rsidRPr="004B77D6">
        <w:rPr>
          <w:rFonts w:asciiTheme="minorHAnsi" w:hAnsiTheme="minorHAnsi" w:cstheme="minorHAnsi"/>
          <w:szCs w:val="24"/>
        </w:rPr>
        <w:t xml:space="preserve">. W związku z faktem, iż na potrzeby dyskontowania pierwszy rok okresu odniesienia traktowany jest jako „rok zerowy” (t=0; współczynnik dyskontowy=1) prognoza przepływów pieniężnych powinna obejmować okres od roku zerowego do roku </w:t>
      </w:r>
      <w:r w:rsidRPr="004B77D6">
        <w:rPr>
          <w:rFonts w:asciiTheme="minorHAnsi" w:hAnsiTheme="minorHAnsi" w:cstheme="minorHAnsi"/>
          <w:i/>
          <w:szCs w:val="24"/>
        </w:rPr>
        <w:t>n</w:t>
      </w:r>
      <w:r w:rsidRPr="004B77D6">
        <w:rPr>
          <w:rFonts w:asciiTheme="minorHAnsi" w:hAnsiTheme="minorHAnsi" w:cstheme="minorHAnsi"/>
          <w:szCs w:val="24"/>
        </w:rPr>
        <w:t xml:space="preserve">, gdzie </w:t>
      </w:r>
      <w:r w:rsidRPr="004B77D6">
        <w:rPr>
          <w:rFonts w:asciiTheme="minorHAnsi" w:hAnsiTheme="minorHAnsi" w:cstheme="minorHAnsi"/>
          <w:i/>
          <w:szCs w:val="24"/>
        </w:rPr>
        <w:t>n</w:t>
      </w:r>
      <w:r w:rsidRPr="004B77D6">
        <w:rPr>
          <w:rFonts w:asciiTheme="minorHAnsi" w:hAnsiTheme="minorHAnsi" w:cstheme="minorHAnsi"/>
          <w:szCs w:val="24"/>
        </w:rPr>
        <w:t xml:space="preserve"> oznacza liczbę lat okresu odniesienia przyjętego do analizy pomniejszoną o 1 (patrz:</w:t>
      </w:r>
      <w:r w:rsidR="002450D7" w:rsidRPr="004B77D6">
        <w:rPr>
          <w:rFonts w:asciiTheme="minorHAnsi" w:hAnsiTheme="minorHAnsi" w:cstheme="minorHAnsi"/>
          <w:szCs w:val="24"/>
        </w:rPr>
        <w:t xml:space="preserve"> </w:t>
      </w:r>
      <w:r w:rsidR="00ED7AE8">
        <w:rPr>
          <w:rFonts w:asciiTheme="minorHAnsi" w:hAnsiTheme="minorHAnsi" w:cstheme="minorHAnsi"/>
          <w:szCs w:val="24"/>
        </w:rPr>
        <w:lastRenderedPageBreak/>
        <w:t>Z</w:t>
      </w:r>
      <w:r w:rsidRPr="004B77D6">
        <w:rPr>
          <w:rFonts w:asciiTheme="minorHAnsi" w:hAnsiTheme="minorHAnsi" w:cstheme="minorHAnsi"/>
          <w:szCs w:val="24"/>
        </w:rPr>
        <w:t>ałącznik 1 do</w:t>
      </w:r>
      <w:r w:rsidR="00F3330D" w:rsidRPr="004B77D6">
        <w:rPr>
          <w:rFonts w:asciiTheme="minorHAnsi" w:hAnsiTheme="minorHAnsi" w:cstheme="minorHAnsi"/>
          <w:szCs w:val="24"/>
        </w:rPr>
        <w:t xml:space="preserve"> </w:t>
      </w:r>
      <w:r w:rsidR="0075519A" w:rsidRPr="004B77D6">
        <w:rPr>
          <w:rFonts w:asciiTheme="minorHAnsi" w:hAnsiTheme="minorHAnsi" w:cstheme="minorHAnsi"/>
          <w:szCs w:val="24"/>
        </w:rPr>
        <w:t>Wytycznych dotyczących zagadnień związanych z przygotowaniem projektów inwestycyjnych, w tym hybrydowych na lata 2021-2027</w:t>
      </w:r>
      <w:r w:rsidRPr="004B77D6">
        <w:rPr>
          <w:rFonts w:asciiTheme="minorHAnsi" w:hAnsiTheme="minorHAnsi" w:cstheme="minorHAnsi"/>
          <w:szCs w:val="24"/>
        </w:rPr>
        <w:t xml:space="preserve">). </w:t>
      </w:r>
    </w:p>
    <w:p w14:paraId="4DC1067A" w14:textId="68994DC0"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Efekt zewnętrzny</w:t>
      </w:r>
      <w:r w:rsidRPr="004B77D6">
        <w:rPr>
          <w:rFonts w:asciiTheme="minorHAnsi" w:hAnsiTheme="minorHAnsi" w:cstheme="minorHAnsi"/>
          <w:szCs w:val="24"/>
        </w:rPr>
        <w:t>: koszty lub korzyści generowane przez  projekt współfinansowany ze</w:t>
      </w:r>
      <w:r w:rsidR="00ED7AE8">
        <w:rPr>
          <w:rFonts w:asciiTheme="minorHAnsi" w:hAnsiTheme="minorHAnsi" w:cstheme="minorHAnsi"/>
          <w:szCs w:val="24"/>
        </w:rPr>
        <w:t xml:space="preserve"> </w:t>
      </w:r>
      <w:r w:rsidRPr="004B77D6">
        <w:rPr>
          <w:rFonts w:asciiTheme="minorHAnsi" w:hAnsiTheme="minorHAnsi" w:cstheme="minorHAnsi"/>
          <w:szCs w:val="24"/>
        </w:rPr>
        <w:t>środków UE, przenoszone na podmioty trzecie niezależnie od ich woli bez odpowiedniej rekompensaty pieniężnej.</w:t>
      </w:r>
    </w:p>
    <w:p w14:paraId="01226478" w14:textId="77777777" w:rsidR="00C2071D" w:rsidRPr="004B77D6" w:rsidRDefault="00C2071D" w:rsidP="00F3330D">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Teoria ekonomii wyróżnia efekty zewnętrzne pieniężne powstające za pośrednictwem mechanizmu rynkowego oraz efekty zewnętrzne niepieniężne (inaczej technologiczne) zachodzące poza mechanizmem rynkowym. </w:t>
      </w:r>
    </w:p>
    <w:p w14:paraId="1F750385" w14:textId="77777777" w:rsidR="00C2071D" w:rsidRPr="004B77D6" w:rsidRDefault="00C2071D" w:rsidP="00F3330D">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w:t>
      </w:r>
      <w:r w:rsidRPr="004B77D6">
        <w:rPr>
          <w:rFonts w:asciiTheme="minorHAnsi" w:hAnsiTheme="minorHAnsi" w:cstheme="minorHAnsi"/>
          <w:szCs w:val="24"/>
        </w:rPr>
        <w:br/>
        <w:t xml:space="preserve">– do rachunku finansowego projektu dodaje się </w:t>
      </w:r>
      <w:proofErr w:type="spellStart"/>
      <w:r w:rsidRPr="004B77D6">
        <w:rPr>
          <w:rFonts w:asciiTheme="minorHAnsi" w:hAnsiTheme="minorHAnsi" w:cstheme="minorHAnsi"/>
          <w:szCs w:val="24"/>
        </w:rPr>
        <w:t>zmonetyzowane</w:t>
      </w:r>
      <w:proofErr w:type="spellEnd"/>
      <w:r w:rsidRPr="004B77D6">
        <w:rPr>
          <w:rFonts w:asciiTheme="minorHAnsi" w:hAnsiTheme="minorHAnsi" w:cstheme="minorHAnsi"/>
          <w:szCs w:val="24"/>
        </w:rPr>
        <w:t xml:space="preserve"> efekty zewnętrzne. </w:t>
      </w:r>
      <w:proofErr w:type="spellStart"/>
      <w:r w:rsidRPr="004B77D6">
        <w:rPr>
          <w:rFonts w:asciiTheme="minorHAnsi" w:hAnsiTheme="minorHAnsi" w:cstheme="minorHAnsi"/>
          <w:szCs w:val="24"/>
        </w:rPr>
        <w:t>Monetyzacja</w:t>
      </w:r>
      <w:proofErr w:type="spellEnd"/>
      <w:r w:rsidRPr="004B77D6">
        <w:rPr>
          <w:rFonts w:asciiTheme="minorHAnsi" w:hAnsiTheme="minorHAnsi" w:cstheme="minorHAnsi"/>
          <w:szCs w:val="24"/>
        </w:rPr>
        <w:t xml:space="preserve"> efektów zewnętrznych polega zaś na ich wycenie na ściśle określonych zasadach i podaniu ich na użytek analizy w wartościach pieniężnych.</w:t>
      </w:r>
    </w:p>
    <w:p w14:paraId="1E7766FD" w14:textId="26B08026" w:rsidR="0075519A"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Finansowanie krzyżowe (</w:t>
      </w:r>
      <w:r w:rsidRPr="004B77D6">
        <w:rPr>
          <w:rFonts w:asciiTheme="minorHAnsi" w:hAnsiTheme="minorHAnsi" w:cstheme="minorHAnsi"/>
          <w:b/>
          <w:i/>
          <w:szCs w:val="24"/>
        </w:rPr>
        <w:t>cross-</w:t>
      </w:r>
      <w:proofErr w:type="spellStart"/>
      <w:r w:rsidRPr="004B77D6">
        <w:rPr>
          <w:rFonts w:asciiTheme="minorHAnsi" w:hAnsiTheme="minorHAnsi" w:cstheme="minorHAnsi"/>
          <w:b/>
          <w:i/>
          <w:szCs w:val="24"/>
        </w:rPr>
        <w:t>financing</w:t>
      </w:r>
      <w:proofErr w:type="spellEnd"/>
      <w:r w:rsidRPr="004B77D6">
        <w:rPr>
          <w:rFonts w:asciiTheme="minorHAnsi" w:hAnsiTheme="minorHAnsi" w:cstheme="minorHAnsi"/>
          <w:b/>
          <w:szCs w:val="24"/>
        </w:rPr>
        <w:t>)</w:t>
      </w:r>
      <w:r w:rsidRPr="004B77D6">
        <w:rPr>
          <w:rFonts w:asciiTheme="minorHAnsi" w:hAnsiTheme="minorHAnsi" w:cstheme="minorHAnsi"/>
          <w:szCs w:val="24"/>
        </w:rPr>
        <w:t>:</w:t>
      </w:r>
      <w:r w:rsidRPr="004B77D6">
        <w:rPr>
          <w:rFonts w:asciiTheme="minorHAnsi" w:hAnsiTheme="minorHAnsi" w:cstheme="minorHAnsi"/>
          <w:b/>
          <w:szCs w:val="24"/>
        </w:rPr>
        <w:t xml:space="preserve"> </w:t>
      </w:r>
      <w:r w:rsidR="0075519A" w:rsidRPr="004B77D6">
        <w:rPr>
          <w:rFonts w:asciiTheme="minorHAnsi" w:hAnsiTheme="minorHAnsi" w:cstheme="minorHAnsi"/>
          <w:szCs w:val="24"/>
        </w:rPr>
        <w:t>zasada</w:t>
      </w:r>
      <w:r w:rsidRPr="004B77D6">
        <w:rPr>
          <w:rFonts w:asciiTheme="minorHAnsi" w:hAnsiTheme="minorHAnsi" w:cstheme="minorHAnsi"/>
          <w:szCs w:val="24"/>
        </w:rPr>
        <w:t xml:space="preserve"> </w:t>
      </w:r>
      <w:r w:rsidR="0075519A" w:rsidRPr="004B77D6">
        <w:rPr>
          <w:rFonts w:asciiTheme="minorHAnsi" w:hAnsiTheme="minorHAnsi" w:cstheme="minorHAnsi"/>
          <w:szCs w:val="24"/>
        </w:rPr>
        <w:t xml:space="preserve">polegająca </w:t>
      </w:r>
      <w:r w:rsidRPr="004B77D6">
        <w:rPr>
          <w:rFonts w:asciiTheme="minorHAnsi" w:hAnsiTheme="minorHAnsi" w:cstheme="minorHAnsi"/>
          <w:szCs w:val="24"/>
        </w:rPr>
        <w:t xml:space="preserve">na możliwości finansowania działań w sposób komplementarny ze środków EFRR i EFS+, w przypadku, gdy dane działanie z jednego funduszu objęte jest zakresem pomocy drugiego </w:t>
      </w:r>
      <w:r w:rsidR="0075519A" w:rsidRPr="004B77D6">
        <w:rPr>
          <w:rFonts w:asciiTheme="minorHAnsi" w:hAnsiTheme="minorHAnsi" w:cstheme="minorHAnsi"/>
          <w:szCs w:val="24"/>
        </w:rPr>
        <w:t>Funduszu - z zastrzeżeniem ograniczenia do 15 % wsparcia z tych Funduszy na rzecz każdego priorytetu danego programu, całość lub część operacji, w przypadku której koszty kwalifikują się do wsparcia z tego drugiego Funduszu w oparciu o zasady kwalifikowalności mające zastosowanie do tego Funduszu, pod warunkiem że koszty takie są konieczne do celów wdrażania.</w:t>
      </w:r>
    </w:p>
    <w:p w14:paraId="4BF0DF17" w14:textId="358DB758"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Koszty operacyjne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dla potrzeb ustalania wskaźników efektywności finansowej oraz wyliczania wartości dofinansowania przyjmuje się, że są to</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koszty eksploatacji i utrzymania </w:t>
      </w:r>
      <w:r w:rsidRPr="004B77D6">
        <w:rPr>
          <w:rFonts w:asciiTheme="minorHAnsi" w:hAnsiTheme="minorHAnsi" w:cstheme="minorHAnsi"/>
          <w:szCs w:val="24"/>
        </w:rPr>
        <w:br/>
        <w:t xml:space="preserve">(np.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w:t>
      </w:r>
      <w:r w:rsidRPr="004B77D6">
        <w:rPr>
          <w:rFonts w:asciiTheme="minorHAnsi" w:hAnsiTheme="minorHAnsi" w:cstheme="minorHAnsi"/>
          <w:szCs w:val="24"/>
        </w:rPr>
        <w:br/>
        <w:t xml:space="preserve">i strat. Do kosztów operacyjnych nie należy zatem zaliczać kosztów amortyzacji oraz rezerw na nieprzewidziane wydatki. Jako koszty operacyjne nie są również traktowane koszty </w:t>
      </w:r>
      <w:r w:rsidRPr="004B77D6">
        <w:rPr>
          <w:rFonts w:asciiTheme="minorHAnsi" w:hAnsiTheme="minorHAnsi" w:cstheme="minorHAnsi"/>
          <w:szCs w:val="24"/>
        </w:rPr>
        <w:lastRenderedPageBreak/>
        <w:t>finansowania (np. odsetki od kredytów</w:t>
      </w:r>
      <w:r w:rsidRPr="004B77D6">
        <w:rPr>
          <w:rFonts w:asciiTheme="minorHAnsi" w:hAnsiTheme="minorHAnsi" w:cstheme="minorHAnsi"/>
          <w:szCs w:val="24"/>
          <w:vertAlign w:val="superscript"/>
        </w:rPr>
        <w:t>7</w:t>
      </w:r>
      <w:r w:rsidRPr="004B77D6">
        <w:rPr>
          <w:rFonts w:asciiTheme="minorHAnsi" w:hAnsiTheme="minorHAnsi" w:cstheme="minorHAnsi"/>
          <w:color w:val="FFFFFF"/>
          <w:szCs w:val="24"/>
          <w:vertAlign w:val="superscript"/>
        </w:rPr>
        <w:footnoteReference w:id="2"/>
      </w:r>
      <w:r w:rsidRPr="004B77D6">
        <w:rPr>
          <w:rFonts w:asciiTheme="minorHAnsi" w:hAnsiTheme="minorHAnsi" w:cstheme="minorHAnsi"/>
          <w:szCs w:val="24"/>
        </w:rPr>
        <w:t xml:space="preserve">). Podatki bezpośrednie (m.in. podatek od nieruchomości) powinny być uwzględniane jako koszt wyłącznie w ramach analizy trwałości. </w:t>
      </w:r>
    </w:p>
    <w:p w14:paraId="72AB59AF" w14:textId="77777777"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Metoda/zasada kasowa: </w:t>
      </w:r>
      <w:r w:rsidRPr="004B77D6">
        <w:rPr>
          <w:rFonts w:asciiTheme="minorHAnsi" w:hAnsiTheme="minorHAnsi" w:cstheme="minorHAnsi"/>
          <w:szCs w:val="24"/>
        </w:rPr>
        <w:t>metoda rachunkowa polegająca na ujmowaniu operacji księgowych tylko wtedy, gdy następuje wpływ środków pieniężnych lub ponoszone są wydatki. Zasadę tę należy odróżniać od zasady memoriału, zgodnie z którą w księgach rachunkowych ujmuje się wszystkie przychody oraz koszty dotyczącego danego roku obrotowego, niezależnie od terminu ich spłaty.</w:t>
      </w:r>
    </w:p>
    <w:p w14:paraId="329C70BB" w14:textId="77777777"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Nakłady inwestycyjne na realizację projektu (koszty inwestycyjne, inwestycja początkowa): </w:t>
      </w:r>
      <w:r w:rsidRPr="004B77D6">
        <w:rPr>
          <w:rFonts w:asciiTheme="minorHAnsi" w:hAnsiTheme="minorHAnsi" w:cstheme="minorHAnsi"/>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4B77D6">
        <w:rPr>
          <w:rFonts w:asciiTheme="minorHAnsi" w:hAnsiTheme="minorHAnsi" w:cstheme="minorHAnsi"/>
          <w:szCs w:val="24"/>
          <w:vertAlign w:val="superscript"/>
        </w:rPr>
        <w:t>8</w:t>
      </w:r>
      <w:r w:rsidRPr="004B77D6">
        <w:rPr>
          <w:rFonts w:asciiTheme="minorHAnsi" w:hAnsiTheme="minorHAnsi" w:cstheme="minorHAnsi"/>
          <w:color w:val="FFFFFF"/>
          <w:szCs w:val="24"/>
          <w:vertAlign w:val="superscript"/>
        </w:rPr>
        <w:footnoteReference w:id="3"/>
      </w:r>
      <w:r w:rsidRPr="004B77D6">
        <w:rPr>
          <w:rFonts w:asciiTheme="minorHAnsi" w:hAnsiTheme="minorHAnsi" w:cstheme="minorHAnsi"/>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4B77D6">
        <w:rPr>
          <w:rFonts w:asciiTheme="minorHAnsi" w:hAnsiTheme="minorHAnsi" w:cstheme="minorHAnsi"/>
          <w:i/>
          <w:szCs w:val="24"/>
        </w:rPr>
        <w:t>Discounted</w:t>
      </w:r>
      <w:proofErr w:type="spellEnd"/>
      <w:r w:rsidRPr="004B77D6">
        <w:rPr>
          <w:rFonts w:asciiTheme="minorHAnsi" w:hAnsiTheme="minorHAnsi" w:cstheme="minorHAnsi"/>
          <w:i/>
          <w:szCs w:val="24"/>
        </w:rPr>
        <w:t xml:space="preserve"> Investment </w:t>
      </w:r>
      <w:proofErr w:type="spellStart"/>
      <w:r w:rsidRPr="004B77D6">
        <w:rPr>
          <w:rFonts w:asciiTheme="minorHAnsi" w:hAnsiTheme="minorHAnsi" w:cstheme="minorHAnsi"/>
          <w:i/>
          <w:szCs w:val="24"/>
        </w:rPr>
        <w:t>Cost</w:t>
      </w:r>
      <w:proofErr w:type="spellEnd"/>
      <w:r w:rsidRPr="004B77D6">
        <w:rPr>
          <w:rFonts w:asciiTheme="minorHAnsi" w:hAnsiTheme="minorHAnsi" w:cstheme="minorHAnsi"/>
          <w:i/>
          <w:szCs w:val="24"/>
        </w:rPr>
        <w:t xml:space="preserve"> – </w:t>
      </w:r>
      <w:r w:rsidRPr="004B77D6">
        <w:rPr>
          <w:rFonts w:asciiTheme="minorHAnsi" w:hAnsiTheme="minorHAnsi" w:cstheme="minorHAnsi"/>
          <w:szCs w:val="24"/>
        </w:rPr>
        <w:t>DIC).</w:t>
      </w:r>
    </w:p>
    <w:p w14:paraId="369D8DFA" w14:textId="296913A9" w:rsidR="00C2071D" w:rsidRPr="004B77D6" w:rsidRDefault="00C2071D" w:rsidP="0089006E">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Nakłady odtworzeniowe: </w:t>
      </w:r>
      <w:r w:rsidRPr="004B77D6">
        <w:rPr>
          <w:rFonts w:asciiTheme="minorHAnsi" w:hAnsiTheme="minorHAnsi" w:cstheme="minorHAnsi"/>
          <w:bCs/>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 Wnioskodawca powinien szczegółowo uzasadnić we wniosku o dofinansowanie konieczność poniesienia tych nakładów dla zapewnienia operacyjności projektu.</w:t>
      </w:r>
    </w:p>
    <w:p w14:paraId="23D5866D" w14:textId="03BF9E06" w:rsidR="00DF7510" w:rsidRPr="004B77D6" w:rsidRDefault="00C2071D" w:rsidP="0089006E">
      <w:pPr>
        <w:keepNext/>
        <w:numPr>
          <w:ilvl w:val="0"/>
          <w:numId w:val="39"/>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Okres odniesienia (horyzont czasowy inwestycji): </w:t>
      </w:r>
      <w:r w:rsidR="00DF7510" w:rsidRPr="004B77D6">
        <w:rPr>
          <w:rFonts w:asciiTheme="minorHAnsi" w:hAnsiTheme="minorHAnsi" w:cstheme="minorHAnsi"/>
          <w:szCs w:val="24"/>
        </w:rPr>
        <w:t xml:space="preserve">okres, za który należy sporządzić prognozę przepływów pieniężnych w projekcie, uwzględniający zarówno okres realizacji projektu, jak i okres po jego ukończeniu, tj. fazę inwestycyjną i operacyjną. Wskazania co do możliwych do zastosowania okresów odniesienia zawarto w Vademecum AE (Część II – zastosowania w sektorach). Wymiar okresu odniesienia jest taki sam w analizie finansowej </w:t>
      </w:r>
      <w:r w:rsidR="00FD57E5" w:rsidRPr="004B77D6">
        <w:rPr>
          <w:rFonts w:asciiTheme="minorHAnsi" w:hAnsiTheme="minorHAnsi" w:cstheme="minorHAnsi"/>
          <w:szCs w:val="24"/>
        </w:rPr>
        <w:br/>
      </w:r>
      <w:r w:rsidR="00DF7510" w:rsidRPr="004B77D6">
        <w:rPr>
          <w:rFonts w:asciiTheme="minorHAnsi" w:hAnsiTheme="minorHAnsi" w:cstheme="minorHAnsi"/>
          <w:szCs w:val="24"/>
        </w:rPr>
        <w:t xml:space="preserve">i w analizie ekonomicznej. 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 Zakupu gruntów oraz prac </w:t>
      </w:r>
      <w:r w:rsidR="00DF7510" w:rsidRPr="004B77D6">
        <w:rPr>
          <w:rFonts w:asciiTheme="minorHAnsi" w:hAnsiTheme="minorHAnsi" w:cstheme="minorHAnsi"/>
          <w:szCs w:val="24"/>
        </w:rPr>
        <w:lastRenderedPageBreak/>
        <w:t xml:space="preserve">przygotowawczych (np. prac geodezyjnych lub uzyskania zezwoleń, czy przeprowadzenia studiów wykonalności) nie uznaje się za rozpoczęcie rzeczowej realizacji projektu. Szczegółowe zasady dot. wyznaczania okresu odniesienia określa instytucja zarządzająca. </w:t>
      </w:r>
    </w:p>
    <w:p w14:paraId="4417DCC5" w14:textId="73C45C77" w:rsidR="00DF7510" w:rsidRPr="00B144EB" w:rsidRDefault="00DF7510" w:rsidP="00B144EB">
      <w:pPr>
        <w:pStyle w:val="Draftmaintext"/>
      </w:pPr>
      <w:proofErr w:type="spellStart"/>
      <w:r w:rsidRPr="00B144EB">
        <w:rPr>
          <w:b/>
          <w:bCs/>
        </w:rPr>
        <w:t>Oszczędności</w:t>
      </w:r>
      <w:proofErr w:type="spellEnd"/>
      <w:r w:rsidRPr="00B144EB">
        <w:rPr>
          <w:b/>
          <w:bCs/>
        </w:rPr>
        <w:t xml:space="preserve"> </w:t>
      </w:r>
      <w:proofErr w:type="spellStart"/>
      <w:r w:rsidRPr="00B144EB">
        <w:rPr>
          <w:b/>
          <w:bCs/>
        </w:rPr>
        <w:t>kosztów</w:t>
      </w:r>
      <w:proofErr w:type="spellEnd"/>
      <w:r w:rsidRPr="00B144EB">
        <w:rPr>
          <w:b/>
          <w:bCs/>
        </w:rPr>
        <w:t xml:space="preserve"> </w:t>
      </w:r>
      <w:proofErr w:type="spellStart"/>
      <w:r w:rsidRPr="00B144EB">
        <w:rPr>
          <w:b/>
          <w:bCs/>
        </w:rPr>
        <w:t>operacyjnych</w:t>
      </w:r>
      <w:proofErr w:type="spellEnd"/>
      <w:r w:rsidRPr="00B144EB">
        <w:t xml:space="preserve">: </w:t>
      </w:r>
      <w:proofErr w:type="spellStart"/>
      <w:r w:rsidRPr="00B144EB">
        <w:t>spadek</w:t>
      </w:r>
      <w:proofErr w:type="spellEnd"/>
      <w:r w:rsidRPr="00B144EB">
        <w:t xml:space="preserve"> </w:t>
      </w:r>
      <w:proofErr w:type="spellStart"/>
      <w:r w:rsidRPr="00B144EB">
        <w:t>poziomu</w:t>
      </w:r>
      <w:proofErr w:type="spellEnd"/>
      <w:r w:rsidRPr="00B144EB">
        <w:t xml:space="preserve"> </w:t>
      </w:r>
      <w:proofErr w:type="spellStart"/>
      <w:r w:rsidRPr="00B144EB">
        <w:t>kosztów</w:t>
      </w:r>
      <w:proofErr w:type="spellEnd"/>
      <w:r w:rsidRPr="00B144EB">
        <w:t xml:space="preserve"> </w:t>
      </w:r>
      <w:proofErr w:type="spellStart"/>
      <w:r w:rsidRPr="00B144EB">
        <w:t>operacyjnych</w:t>
      </w:r>
      <w:proofErr w:type="spellEnd"/>
      <w:r w:rsidRPr="00B144EB">
        <w:t xml:space="preserve"> </w:t>
      </w:r>
      <w:proofErr w:type="spellStart"/>
      <w:r w:rsidRPr="00B144EB">
        <w:t>związanych</w:t>
      </w:r>
      <w:proofErr w:type="spellEnd"/>
      <w:r w:rsidRPr="00B144EB">
        <w:t xml:space="preserve"> z </w:t>
      </w:r>
      <w:proofErr w:type="spellStart"/>
      <w:r w:rsidRPr="00B144EB">
        <w:t>funkcjonowaniem</w:t>
      </w:r>
      <w:proofErr w:type="spellEnd"/>
      <w:r w:rsidRPr="00B144EB">
        <w:t xml:space="preserve"> </w:t>
      </w:r>
      <w:proofErr w:type="spellStart"/>
      <w:r w:rsidRPr="00B144EB">
        <w:t>infrastruktury</w:t>
      </w:r>
      <w:proofErr w:type="spellEnd"/>
      <w:r w:rsidRPr="00B144EB">
        <w:t xml:space="preserve">, </w:t>
      </w:r>
      <w:proofErr w:type="spellStart"/>
      <w:r w:rsidRPr="00B144EB">
        <w:t>powstały</w:t>
      </w:r>
      <w:proofErr w:type="spellEnd"/>
      <w:r w:rsidRPr="00B144EB">
        <w:t xml:space="preserve"> w </w:t>
      </w:r>
      <w:proofErr w:type="spellStart"/>
      <w:r w:rsidRPr="00B144EB">
        <w:t>wyniku</w:t>
      </w:r>
      <w:proofErr w:type="spellEnd"/>
      <w:r w:rsidRPr="00B144EB">
        <w:t xml:space="preserve"> </w:t>
      </w:r>
      <w:proofErr w:type="spellStart"/>
      <w:r w:rsidRPr="00B144EB">
        <w:t>realizacji</w:t>
      </w:r>
      <w:proofErr w:type="spellEnd"/>
      <w:r w:rsidRPr="00B144EB">
        <w:t xml:space="preserve"> </w:t>
      </w:r>
      <w:proofErr w:type="spellStart"/>
      <w:r w:rsidRPr="00B144EB">
        <w:t>projektu</w:t>
      </w:r>
      <w:proofErr w:type="spellEnd"/>
      <w:r w:rsidRPr="00B144EB">
        <w:t xml:space="preserve">. </w:t>
      </w:r>
      <w:proofErr w:type="spellStart"/>
      <w:r w:rsidRPr="00B144EB">
        <w:t>Wartość</w:t>
      </w:r>
      <w:proofErr w:type="spellEnd"/>
      <w:r w:rsidRPr="00B144EB">
        <w:t xml:space="preserve"> </w:t>
      </w:r>
      <w:proofErr w:type="spellStart"/>
      <w:r w:rsidRPr="00B144EB">
        <w:t>oszczędności</w:t>
      </w:r>
      <w:proofErr w:type="spellEnd"/>
      <w:r w:rsidRPr="00B144EB">
        <w:t xml:space="preserve"> </w:t>
      </w:r>
      <w:proofErr w:type="spellStart"/>
      <w:r w:rsidRPr="00B144EB">
        <w:t>ustala</w:t>
      </w:r>
      <w:proofErr w:type="spellEnd"/>
      <w:r w:rsidRPr="00B144EB">
        <w:t xml:space="preserve"> </w:t>
      </w:r>
      <w:proofErr w:type="spellStart"/>
      <w:r w:rsidRPr="00B144EB">
        <w:t>się</w:t>
      </w:r>
      <w:proofErr w:type="spellEnd"/>
      <w:r w:rsidRPr="00B144EB">
        <w:t xml:space="preserve"> </w:t>
      </w:r>
      <w:proofErr w:type="spellStart"/>
      <w:r w:rsidRPr="00B144EB">
        <w:t>poprzez</w:t>
      </w:r>
      <w:proofErr w:type="spellEnd"/>
      <w:r w:rsidRPr="00B144EB">
        <w:t xml:space="preserve"> </w:t>
      </w:r>
      <w:proofErr w:type="spellStart"/>
      <w:r w:rsidRPr="00B144EB">
        <w:t>porównanie</w:t>
      </w:r>
      <w:proofErr w:type="spellEnd"/>
      <w:r w:rsidRPr="00B144EB">
        <w:t xml:space="preserve"> </w:t>
      </w:r>
      <w:proofErr w:type="spellStart"/>
      <w:r w:rsidRPr="00B144EB">
        <w:t>poziomu</w:t>
      </w:r>
      <w:proofErr w:type="spellEnd"/>
      <w:r w:rsidRPr="00B144EB">
        <w:t xml:space="preserve"> </w:t>
      </w:r>
      <w:proofErr w:type="spellStart"/>
      <w:r w:rsidRPr="00B144EB">
        <w:t>kosztów</w:t>
      </w:r>
      <w:proofErr w:type="spellEnd"/>
      <w:r w:rsidRPr="00B144EB">
        <w:t xml:space="preserve"> </w:t>
      </w:r>
      <w:proofErr w:type="spellStart"/>
      <w:r w:rsidRPr="00B144EB">
        <w:t>operacyjnych</w:t>
      </w:r>
      <w:proofErr w:type="spellEnd"/>
      <w:r w:rsidRPr="00B144EB">
        <w:t xml:space="preserve"> </w:t>
      </w:r>
      <w:proofErr w:type="spellStart"/>
      <w:r w:rsidRPr="00B144EB">
        <w:t>dla</w:t>
      </w:r>
      <w:proofErr w:type="spellEnd"/>
      <w:r w:rsidRPr="00B144EB">
        <w:t xml:space="preserve"> </w:t>
      </w:r>
      <w:proofErr w:type="spellStart"/>
      <w:r w:rsidRPr="00B144EB">
        <w:t>scenariusza</w:t>
      </w:r>
      <w:proofErr w:type="spellEnd"/>
      <w:r w:rsidRPr="00B144EB">
        <w:t xml:space="preserve"> „z </w:t>
      </w:r>
      <w:proofErr w:type="spellStart"/>
      <w:r w:rsidRPr="00B144EB">
        <w:t>projektem</w:t>
      </w:r>
      <w:proofErr w:type="spellEnd"/>
      <w:r w:rsidRPr="00B144EB">
        <w:t xml:space="preserve">” </w:t>
      </w:r>
      <w:proofErr w:type="spellStart"/>
      <w:r w:rsidRPr="00B144EB">
        <w:t>oraz</w:t>
      </w:r>
      <w:proofErr w:type="spellEnd"/>
      <w:r w:rsidRPr="00B144EB">
        <w:t xml:space="preserve"> </w:t>
      </w:r>
      <w:proofErr w:type="spellStart"/>
      <w:r w:rsidRPr="00B144EB">
        <w:t>scenariusza</w:t>
      </w:r>
      <w:proofErr w:type="spellEnd"/>
      <w:r w:rsidRPr="00B144EB">
        <w:t xml:space="preserve"> „bez </w:t>
      </w:r>
      <w:proofErr w:type="spellStart"/>
      <w:r w:rsidRPr="00B144EB">
        <w:t>projektu</w:t>
      </w:r>
      <w:proofErr w:type="spellEnd"/>
      <w:r w:rsidRPr="00B144EB">
        <w:t>” (</w:t>
      </w:r>
      <w:proofErr w:type="spellStart"/>
      <w:r w:rsidRPr="00B144EB">
        <w:t>patrz</w:t>
      </w:r>
      <w:proofErr w:type="spellEnd"/>
      <w:r w:rsidRPr="00B144EB">
        <w:t xml:space="preserve">: </w:t>
      </w:r>
      <w:proofErr w:type="spellStart"/>
      <w:r w:rsidRPr="00B144EB">
        <w:t>Wykaz</w:t>
      </w:r>
      <w:proofErr w:type="spellEnd"/>
      <w:r w:rsidRPr="00B144EB">
        <w:t xml:space="preserve"> </w:t>
      </w:r>
      <w:proofErr w:type="spellStart"/>
      <w:r w:rsidRPr="00B144EB">
        <w:t>pojęć</w:t>
      </w:r>
      <w:proofErr w:type="spellEnd"/>
      <w:r w:rsidRPr="00B144EB">
        <w:t xml:space="preserve"> – </w:t>
      </w:r>
      <w:proofErr w:type="spellStart"/>
      <w:r w:rsidRPr="00B144EB">
        <w:t>różnicowy</w:t>
      </w:r>
      <w:proofErr w:type="spellEnd"/>
      <w:r w:rsidRPr="00B144EB">
        <w:t xml:space="preserve"> </w:t>
      </w:r>
      <w:proofErr w:type="spellStart"/>
      <w:r w:rsidR="00CB5F67" w:rsidRPr="00B144EB">
        <w:t>Opłata</w:t>
      </w:r>
      <w:proofErr w:type="spellEnd"/>
      <w:r w:rsidR="00CB5F67" w:rsidRPr="00B144EB">
        <w:t xml:space="preserve"> za </w:t>
      </w:r>
      <w:proofErr w:type="spellStart"/>
      <w:r w:rsidR="00CB5F67" w:rsidRPr="00B144EB">
        <w:t>dostępność</w:t>
      </w:r>
      <w:proofErr w:type="spellEnd"/>
      <w:r w:rsidR="00CB5F67" w:rsidRPr="00B144EB">
        <w:t xml:space="preserve">: </w:t>
      </w:r>
      <w:proofErr w:type="spellStart"/>
      <w:r w:rsidR="00CB5F67" w:rsidRPr="00B144EB">
        <w:t>Zryczałtowane</w:t>
      </w:r>
      <w:proofErr w:type="spellEnd"/>
      <w:r w:rsidR="00CB5F67" w:rsidRPr="00B144EB">
        <w:t xml:space="preserve"> </w:t>
      </w:r>
      <w:proofErr w:type="spellStart"/>
      <w:r w:rsidR="00CB5F67" w:rsidRPr="00B144EB">
        <w:t>wynagrodzenie</w:t>
      </w:r>
      <w:proofErr w:type="spellEnd"/>
      <w:r w:rsidR="00CB5F67" w:rsidRPr="00B144EB">
        <w:t xml:space="preserve"> </w:t>
      </w:r>
      <w:proofErr w:type="spellStart"/>
      <w:r w:rsidR="00CB5F67" w:rsidRPr="00B144EB">
        <w:t>pieniężne</w:t>
      </w:r>
      <w:proofErr w:type="spellEnd"/>
      <w:r w:rsidR="00CB5F67" w:rsidRPr="00B144EB">
        <w:t xml:space="preserve"> </w:t>
      </w:r>
      <w:proofErr w:type="spellStart"/>
      <w:r w:rsidR="00CB5F67" w:rsidRPr="00B144EB">
        <w:t>wypłacane</w:t>
      </w:r>
      <w:proofErr w:type="spellEnd"/>
      <w:r w:rsidR="00CB5F67" w:rsidRPr="00B144EB">
        <w:t xml:space="preserve"> </w:t>
      </w:r>
      <w:proofErr w:type="spellStart"/>
      <w:r w:rsidR="00CB5F67" w:rsidRPr="00B144EB">
        <w:t>cyklicznie</w:t>
      </w:r>
      <w:proofErr w:type="spellEnd"/>
      <w:r w:rsidR="00CB5F67" w:rsidRPr="00B144EB">
        <w:t xml:space="preserve"> </w:t>
      </w:r>
      <w:proofErr w:type="spellStart"/>
      <w:r w:rsidR="00CB5F67" w:rsidRPr="00B144EB">
        <w:t>przez</w:t>
      </w:r>
      <w:proofErr w:type="spellEnd"/>
      <w:r w:rsidR="00CB5F67" w:rsidRPr="00B144EB">
        <w:t xml:space="preserve"> </w:t>
      </w:r>
      <w:proofErr w:type="spellStart"/>
      <w:r w:rsidR="00CB5F67" w:rsidRPr="00B144EB">
        <w:t>podmiot</w:t>
      </w:r>
      <w:proofErr w:type="spellEnd"/>
      <w:r w:rsidR="00CB5F67" w:rsidRPr="00B144EB">
        <w:t xml:space="preserve"> </w:t>
      </w:r>
      <w:proofErr w:type="spellStart"/>
      <w:r w:rsidR="00CB5F67" w:rsidRPr="00B144EB">
        <w:t>publiczny</w:t>
      </w:r>
      <w:proofErr w:type="spellEnd"/>
      <w:r w:rsidR="00CB5F67" w:rsidRPr="00B144EB">
        <w:t xml:space="preserve"> </w:t>
      </w:r>
      <w:proofErr w:type="spellStart"/>
      <w:r w:rsidR="00CB5F67" w:rsidRPr="00B144EB">
        <w:t>na</w:t>
      </w:r>
      <w:proofErr w:type="spellEnd"/>
      <w:r w:rsidR="00CB5F67" w:rsidRPr="00B144EB">
        <w:t xml:space="preserve"> </w:t>
      </w:r>
      <w:proofErr w:type="spellStart"/>
      <w:r w:rsidR="00CB5F67" w:rsidRPr="00B144EB">
        <w:t>rzecz</w:t>
      </w:r>
      <w:proofErr w:type="spellEnd"/>
      <w:r w:rsidR="00CB5F67" w:rsidRPr="00B144EB">
        <w:t xml:space="preserve"> </w:t>
      </w:r>
      <w:proofErr w:type="spellStart"/>
      <w:r w:rsidR="00CB5F67" w:rsidRPr="00B144EB">
        <w:t>partnera</w:t>
      </w:r>
      <w:proofErr w:type="spellEnd"/>
      <w:r w:rsidR="00CB5F67" w:rsidRPr="00B144EB">
        <w:t xml:space="preserve"> </w:t>
      </w:r>
      <w:proofErr w:type="spellStart"/>
      <w:r w:rsidR="00CB5F67" w:rsidRPr="00B144EB">
        <w:t>prywatnego</w:t>
      </w:r>
      <w:proofErr w:type="spellEnd"/>
      <w:r w:rsidR="00CB5F67" w:rsidRPr="00B144EB">
        <w:t xml:space="preserve"> w </w:t>
      </w:r>
      <w:proofErr w:type="spellStart"/>
      <w:r w:rsidR="00CB5F67" w:rsidRPr="00B144EB">
        <w:t>fazie</w:t>
      </w:r>
      <w:proofErr w:type="spellEnd"/>
      <w:r w:rsidR="00CB5F67" w:rsidRPr="00B144EB">
        <w:t xml:space="preserve"> </w:t>
      </w:r>
      <w:proofErr w:type="spellStart"/>
      <w:r w:rsidR="00CB5F67" w:rsidRPr="00B144EB">
        <w:t>eksploatacji</w:t>
      </w:r>
      <w:proofErr w:type="spellEnd"/>
      <w:r w:rsidR="00CB5F67" w:rsidRPr="00B144EB">
        <w:t xml:space="preserve"> infrastruktury</w:t>
      </w:r>
      <w:r w:rsidR="00CB5F67" w:rsidRPr="00B144EB">
        <w:rPr>
          <w:vertAlign w:val="superscript"/>
        </w:rPr>
        <w:t>9</w:t>
      </w:r>
      <w:r w:rsidR="00CB5F67" w:rsidRPr="00B144EB">
        <w:rPr>
          <w:color w:val="FFFFFF"/>
          <w:vertAlign w:val="superscript"/>
        </w:rPr>
        <w:footnoteReference w:id="4"/>
      </w:r>
      <w:r w:rsidRPr="00B144EB">
        <w:t xml:space="preserve">model </w:t>
      </w:r>
      <w:proofErr w:type="spellStart"/>
      <w:r w:rsidRPr="00B144EB">
        <w:t>finansowy</w:t>
      </w:r>
      <w:proofErr w:type="spellEnd"/>
      <w:r w:rsidRPr="00B144EB">
        <w:t xml:space="preserve">). </w:t>
      </w:r>
    </w:p>
    <w:p w14:paraId="2875A443" w14:textId="77777777" w:rsidR="00C2071D" w:rsidRPr="004B77D6" w:rsidRDefault="00C2071D" w:rsidP="0089006E">
      <w:pPr>
        <w:keepNext/>
        <w:numPr>
          <w:ilvl w:val="0"/>
          <w:numId w:val="39"/>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Projekt: </w:t>
      </w:r>
      <w:r w:rsidRPr="004B77D6">
        <w:rPr>
          <w:rFonts w:asciiTheme="minorHAnsi" w:hAnsiTheme="minorHAnsi" w:cstheme="minorHAnsi"/>
          <w:bCs/>
          <w:szCs w:val="24"/>
        </w:rPr>
        <w:t>przedsięwzięcie inwestycyjne zmierzające do osiągnięcia założonego celu określonego wskaźnikami, posiadające określony początek i koniec realizacji, zgłoszone do objęcia albo objęte współfinansowaniem w ramach środków EFSI.</w:t>
      </w:r>
      <w:r w:rsidRPr="004B77D6">
        <w:rPr>
          <w:rFonts w:asciiTheme="minorHAnsi" w:hAnsiTheme="minorHAnsi" w:cstheme="minorHAnsi"/>
          <w:szCs w:val="24"/>
        </w:rPr>
        <w:t xml:space="preserve"> </w:t>
      </w:r>
    </w:p>
    <w:p w14:paraId="05CA918C" w14:textId="3D7A9CD9" w:rsidR="00FD57E5" w:rsidRPr="004B77D6" w:rsidRDefault="00C2071D" w:rsidP="0089006E">
      <w:pPr>
        <w:numPr>
          <w:ilvl w:val="0"/>
          <w:numId w:val="46"/>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Projekt hybrydowy: </w:t>
      </w:r>
      <w:r w:rsidR="00FD57E5" w:rsidRPr="004B77D6">
        <w:rPr>
          <w:rFonts w:asciiTheme="minorHAnsi" w:hAnsiTheme="minorHAnsi" w:cstheme="minorHAnsi"/>
          <w:bCs/>
          <w:szCs w:val="24"/>
        </w:rPr>
        <w:t>[za art. 40 ustawy wdrożeniowej] wspólna realizacja projektu przez partnerstwo publiczno-prywatne w rozumieniu art. 2 pkt 15 rozporządzenia nr 2021/1060. Artykuł 2 pkt 15 rozporządzenia nr 2021/1060 wskazuje, że projekt hybrydowy, to 15 inwestycja wdrażana w oparciu o umowę o PPP zawartą pomiędzy podmiotem publicznym a sektorem prywatnym. Celem tej umowy jest realizowanie usług publicznych dzięki podziałowi ryzyka oraz połączeniu doświadczenia (strony prywatnej) lub dodatkowych źródeł kapitału (zapewnionych przez stronę prywatną) albo obu tych elementów łącznie. Projekt hybrydowy należy odróżnić od projektu partnerskiego. Wynika to zarówno ze specyfiki tych dwóch rodzajów projektów, jak i z art. 39 ust. 15 ustawy wdrożeniowej, który wskazuje, że przepisy tego aktu prawnego odnoszące się do projektów partnerskich (zawartych w art. 39) nie mają zastosowania do projektów hybrydowych</w:t>
      </w:r>
      <w:r w:rsidR="00FD57E5" w:rsidRPr="004B77D6">
        <w:rPr>
          <w:rFonts w:asciiTheme="minorHAnsi" w:hAnsiTheme="minorHAnsi" w:cstheme="minorHAnsi"/>
          <w:szCs w:val="24"/>
        </w:rPr>
        <w:t>.</w:t>
      </w:r>
    </w:p>
    <w:p w14:paraId="2E56A4DD" w14:textId="43F00E59" w:rsidR="00C2071D" w:rsidRPr="004B77D6" w:rsidRDefault="00C2071D" w:rsidP="0089006E">
      <w:pPr>
        <w:numPr>
          <w:ilvl w:val="0"/>
          <w:numId w:val="46"/>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Przewodnik AKK</w:t>
      </w:r>
      <w:r w:rsidRPr="004B77D6">
        <w:rPr>
          <w:rStyle w:val="Odwoanieprzypisudolnego"/>
          <w:rFonts w:asciiTheme="minorHAnsi" w:hAnsiTheme="minorHAnsi" w:cstheme="minorHAnsi"/>
          <w:szCs w:val="24"/>
        </w:rPr>
        <w:footnoteReference w:id="5"/>
      </w:r>
      <w:r w:rsidRPr="004B77D6">
        <w:rPr>
          <w:rFonts w:asciiTheme="minorHAnsi" w:hAnsiTheme="minorHAnsi" w:cstheme="minorHAnsi"/>
          <w:szCs w:val="24"/>
        </w:rPr>
        <w:t xml:space="preserve">: </w:t>
      </w:r>
      <w:r w:rsidR="00FD57E5" w:rsidRPr="004B77D6">
        <w:rPr>
          <w:rFonts w:asciiTheme="minorHAnsi" w:hAnsiTheme="minorHAnsi" w:cstheme="minorHAnsi"/>
          <w:szCs w:val="24"/>
        </w:rPr>
        <w:t xml:space="preserve">Przewodnik do analizy kosztów i korzyści projektów inwestycyjnych (ang. </w:t>
      </w:r>
      <w:r w:rsidR="00FD57E5" w:rsidRPr="004B77D6">
        <w:rPr>
          <w:rFonts w:asciiTheme="minorHAnsi" w:hAnsiTheme="minorHAnsi" w:cstheme="minorHAnsi"/>
          <w:szCs w:val="24"/>
          <w:lang w:val="en-US"/>
        </w:rPr>
        <w:t xml:space="preserve">Guide to cost-benefit Analysis of Investment Projects), </w:t>
      </w:r>
      <w:proofErr w:type="spellStart"/>
      <w:r w:rsidR="00FD57E5" w:rsidRPr="004B77D6">
        <w:rPr>
          <w:rFonts w:asciiTheme="minorHAnsi" w:hAnsiTheme="minorHAnsi" w:cstheme="minorHAnsi"/>
          <w:szCs w:val="24"/>
          <w:lang w:val="en-US"/>
        </w:rPr>
        <w:t>Komisja</w:t>
      </w:r>
      <w:proofErr w:type="spellEnd"/>
      <w:r w:rsidR="00FD57E5" w:rsidRPr="004B77D6">
        <w:rPr>
          <w:rFonts w:asciiTheme="minorHAnsi" w:hAnsiTheme="minorHAnsi" w:cstheme="minorHAnsi"/>
          <w:szCs w:val="24"/>
          <w:lang w:val="en-US"/>
        </w:rPr>
        <w:t xml:space="preserve"> </w:t>
      </w:r>
      <w:proofErr w:type="spellStart"/>
      <w:r w:rsidR="00FD57E5" w:rsidRPr="004B77D6">
        <w:rPr>
          <w:rFonts w:asciiTheme="minorHAnsi" w:hAnsiTheme="minorHAnsi" w:cstheme="minorHAnsi"/>
          <w:szCs w:val="24"/>
          <w:lang w:val="en-US"/>
        </w:rPr>
        <w:t>Europejska</w:t>
      </w:r>
      <w:proofErr w:type="spellEnd"/>
      <w:r w:rsidR="00FD57E5" w:rsidRPr="004B77D6">
        <w:rPr>
          <w:rFonts w:asciiTheme="minorHAnsi" w:hAnsiTheme="minorHAnsi" w:cstheme="minorHAnsi"/>
          <w:szCs w:val="24"/>
          <w:lang w:val="en-US"/>
        </w:rPr>
        <w:t xml:space="preserve">, </w:t>
      </w:r>
      <w:proofErr w:type="spellStart"/>
      <w:r w:rsidR="00FD57E5" w:rsidRPr="004B77D6">
        <w:rPr>
          <w:rFonts w:asciiTheme="minorHAnsi" w:hAnsiTheme="minorHAnsi" w:cstheme="minorHAnsi"/>
          <w:szCs w:val="24"/>
          <w:lang w:val="en-US"/>
        </w:rPr>
        <w:t>grudzień</w:t>
      </w:r>
      <w:proofErr w:type="spellEnd"/>
      <w:r w:rsidR="00FD57E5" w:rsidRPr="004B77D6">
        <w:rPr>
          <w:rFonts w:asciiTheme="minorHAnsi" w:hAnsiTheme="minorHAnsi" w:cstheme="minorHAnsi"/>
          <w:szCs w:val="24"/>
          <w:lang w:val="en-US"/>
        </w:rPr>
        <w:t xml:space="preserve"> 2014. </w:t>
      </w:r>
      <w:r w:rsidR="00FD57E5" w:rsidRPr="004B77D6">
        <w:rPr>
          <w:rFonts w:asciiTheme="minorHAnsi" w:hAnsiTheme="minorHAnsi" w:cstheme="minorHAnsi"/>
          <w:szCs w:val="24"/>
        </w:rPr>
        <w:t xml:space="preserve">Pomimo faktu, iż Przewodnik AKK został opracowany jako dokument metodologiczny dla projektów inwestycyjnych z perspektywy finansowej 2014-2020 i formalnie nie obowiązuje w perspektywie finansowej 2021-2027, zaleca się </w:t>
      </w:r>
      <w:r w:rsidR="00FD57E5" w:rsidRPr="004B77D6">
        <w:rPr>
          <w:rFonts w:asciiTheme="minorHAnsi" w:hAnsiTheme="minorHAnsi" w:cstheme="minorHAnsi"/>
          <w:szCs w:val="24"/>
        </w:rPr>
        <w:lastRenderedPageBreak/>
        <w:t xml:space="preserve">stosowanie jego postanowień, zwłaszcza w odniesieniu do kwestii, w których do tego dokumentu odsyłają postanowienia Vademecum AE (patrz: Wykaz pojęć – Vademecum AE). </w:t>
      </w:r>
    </w:p>
    <w:p w14:paraId="5BE2581F" w14:textId="64009AE9" w:rsidR="00E053DC" w:rsidRPr="004B77D6" w:rsidRDefault="00C2071D" w:rsidP="0089006E">
      <w:pPr>
        <w:numPr>
          <w:ilvl w:val="0"/>
          <w:numId w:val="5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Przychód:</w:t>
      </w:r>
      <w:r w:rsidRPr="004B77D6">
        <w:rPr>
          <w:rFonts w:asciiTheme="minorHAnsi" w:hAnsiTheme="minorHAnsi" w:cstheme="minorHAnsi"/>
          <w:szCs w:val="24"/>
        </w:rPr>
        <w:t xml:space="preserve"> </w:t>
      </w:r>
      <w:r w:rsidR="00E053DC" w:rsidRPr="004B77D6">
        <w:rPr>
          <w:rFonts w:asciiTheme="minorHAnsi" w:hAnsiTheme="minorHAnsi" w:cstheme="minorHAnsi"/>
          <w:szCs w:val="24"/>
        </w:rPr>
        <w:t>wpływ środków pieniężnych powstały w związku z projektem, najczęściej mający postać opłat za towary lub usługi zapewnione przez projekt. Podstawowym kryterium weryfikacji, czy dany wpływ środków pieniężnych ma związek z projektem jest kryterium bezpośredniości – czy wpływ (na rzecz beneficjenta) miałby miejsce, gdyby projekt nie został zrealizowany; czy dany towar lub usługa byłaby świadczona (przez beneficjenta), gdyby projekt nie został zrealizowany. Należy mieć na uwadze, iż podmiotem płacącym za usługi może być zarówno ich bezpośredni odbiorca, jak i określona podmiot/instytucja, natomiast w kalkulacji wskaźników efektywności finansowej uwzględniany jest przychód od użytkowników nawet jeżeli jest pobierany przez inny podmiot; inne przepływy pomiędzy podmiotami zaangażowanymi w projekt wykazujemy wyłączenie w analizie trwałości finansowej.</w:t>
      </w:r>
    </w:p>
    <w:p w14:paraId="6DEE953C" w14:textId="300A1ED3" w:rsidR="00C2071D" w:rsidRPr="004B77D6" w:rsidRDefault="00C2071D" w:rsidP="0089006E">
      <w:pPr>
        <w:numPr>
          <w:ilvl w:val="0"/>
          <w:numId w:val="5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Rachunek powierniczy:</w:t>
      </w:r>
      <w:r w:rsidRPr="004B77D6">
        <w:rPr>
          <w:rFonts w:asciiTheme="minorHAnsi" w:hAnsiTheme="minorHAnsi" w:cstheme="minorHAnsi"/>
          <w:szCs w:val="24"/>
        </w:rPr>
        <w:t xml:space="preserve"> </w:t>
      </w:r>
      <w:r w:rsidR="00E053DC" w:rsidRPr="004B77D6">
        <w:rPr>
          <w:rFonts w:asciiTheme="minorHAnsi" w:hAnsiTheme="minorHAnsi" w:cstheme="minorHAnsi"/>
          <w:szCs w:val="24"/>
        </w:rPr>
        <w:t>zgodnie z art. 2 pkt 39 rozporządzenia nr 2021/1060, rachunek bankowy prowadzony na podstawie pisemnej umowy zawartej między podmiotem publicznym będącym beneficjentem a partnerem prywatnym i zatwierdzonej przez instytucję zarządzającą lub pośredniczącą, wykorzystywany do płatności w trakcie okresu kwalifikowalności lub po jego upływie.</w:t>
      </w:r>
    </w:p>
    <w:p w14:paraId="26FBBCC6" w14:textId="44AE5AC6" w:rsidR="006350E5" w:rsidRPr="004B77D6" w:rsidRDefault="00C2071D" w:rsidP="00B34EE2">
      <w:pPr>
        <w:spacing w:after="120" w:line="276" w:lineRule="auto"/>
        <w:rPr>
          <w:rFonts w:asciiTheme="minorHAnsi" w:hAnsiTheme="minorHAnsi" w:cstheme="minorHAnsi"/>
          <w:szCs w:val="24"/>
        </w:rPr>
      </w:pPr>
      <w:r w:rsidRPr="004B77D6">
        <w:rPr>
          <w:rFonts w:asciiTheme="minorHAnsi" w:hAnsiTheme="minorHAnsi" w:cstheme="minorHAnsi"/>
          <w:szCs w:val="24"/>
        </w:rPr>
        <w:t>-</w:t>
      </w:r>
      <w:r w:rsidRPr="004B77D6">
        <w:rPr>
          <w:rFonts w:asciiTheme="minorHAnsi" w:hAnsiTheme="minorHAnsi" w:cstheme="minorHAnsi"/>
          <w:szCs w:val="24"/>
        </w:rPr>
        <w:tab/>
      </w:r>
      <w:r w:rsidRPr="004B77D6">
        <w:rPr>
          <w:rFonts w:asciiTheme="minorHAnsi" w:hAnsiTheme="minorHAnsi" w:cstheme="minorHAnsi"/>
          <w:b/>
          <w:bCs/>
          <w:szCs w:val="24"/>
        </w:rPr>
        <w:t xml:space="preserve">Różnicowy model finansowy: </w:t>
      </w:r>
      <w:r w:rsidR="00E053DC" w:rsidRPr="004B77D6">
        <w:rPr>
          <w:rFonts w:asciiTheme="minorHAnsi" w:hAnsiTheme="minorHAnsi" w:cstheme="minorHAnsi"/>
          <w:szCs w:val="24"/>
        </w:rPr>
        <w:t>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dla ustalenia wartości wskaźników efektywności finansowej projektu. Model ten polega na oszacowaniu przyszłych przepływów pieniężnych w dwóch scenariuszach – inwestycyjnym i bez inwestycji (projektu). Analiza finansowa przedstawia koszty i przychody wynikające z pierwszego scenariusza, pomniejszone o koszty i przychody wynikające ze scenariusza drugiego.</w:t>
      </w:r>
    </w:p>
    <w:p w14:paraId="761BBEF3" w14:textId="74B34A8F" w:rsidR="00C2071D" w:rsidRPr="004B77D6" w:rsidRDefault="00C2071D" w:rsidP="0089006E">
      <w:pPr>
        <w:pStyle w:val="Akapitzlist"/>
        <w:numPr>
          <w:ilvl w:val="0"/>
          <w:numId w:val="60"/>
        </w:numPr>
        <w:spacing w:after="120"/>
        <w:ind w:left="0" w:firstLine="0"/>
        <w:rPr>
          <w:rFonts w:asciiTheme="minorHAnsi" w:hAnsiTheme="minorHAnsi" w:cstheme="minorHAnsi"/>
          <w:bCs/>
          <w:szCs w:val="24"/>
        </w:rPr>
      </w:pPr>
      <w:r w:rsidRPr="00CF5A4B">
        <w:rPr>
          <w:rFonts w:asciiTheme="minorHAnsi" w:hAnsiTheme="minorHAnsi" w:cstheme="minorHAnsi"/>
          <w:b/>
          <w:sz w:val="24"/>
          <w:szCs w:val="24"/>
        </w:rPr>
        <w:t xml:space="preserve">Scenariusz (wariant) bezinwestycyjny (kontrfaktyczny): </w:t>
      </w:r>
      <w:r w:rsidRPr="00CF5A4B">
        <w:rPr>
          <w:rFonts w:asciiTheme="minorHAnsi" w:hAnsiTheme="minorHAnsi" w:cstheme="minorHAnsi"/>
          <w:sz w:val="24"/>
          <w:szCs w:val="24"/>
        </w:rPr>
        <w:t>W scenariuszu bez inwestycji (projektu UE) należy ująć wszystkie nakłady inwestycyjne, operacyjne i odtworzeniowe, które beneficjent poniósłby w danym okresie odniesienia oraz przychody, które uzyskałby w tym okresie, w sytuacji, gdyby nie zrealizował inwestycji (projektu UE). Scenariusz ten powinien charakteryzować się możliwie najwyższym stopniem prawdopodobieństwa.</w:t>
      </w:r>
      <w:r w:rsidR="006350E5" w:rsidRPr="00CF5A4B">
        <w:rPr>
          <w:rFonts w:asciiTheme="minorHAnsi" w:hAnsiTheme="minorHAnsi" w:cstheme="minorHAnsi"/>
          <w:sz w:val="24"/>
          <w:szCs w:val="24"/>
        </w:rPr>
        <w:t xml:space="preserve"> </w:t>
      </w:r>
      <w:r w:rsidRPr="00CF5A4B">
        <w:rPr>
          <w:rFonts w:asciiTheme="minorHAnsi" w:hAnsiTheme="minorHAnsi" w:cstheme="minorHAnsi"/>
          <w:bCs/>
          <w:sz w:val="24"/>
          <w:szCs w:val="24"/>
        </w:rPr>
        <w:t>Zgodnie z Przewodnikiem AKK  scenariusz ten powinien zakładać ponoszenie wszelkich kosztów, koniecznych do zapewnienia minimalnego poziomu świadczonych usług.</w:t>
      </w:r>
      <w:r w:rsidR="006350E5" w:rsidRPr="00CF5A4B">
        <w:rPr>
          <w:rFonts w:asciiTheme="minorHAnsi" w:hAnsiTheme="minorHAnsi" w:cstheme="minorHAnsi"/>
          <w:bCs/>
          <w:sz w:val="24"/>
          <w:szCs w:val="24"/>
        </w:rPr>
        <w:t xml:space="preserve"> </w:t>
      </w:r>
      <w:r w:rsidRPr="00CF5A4B">
        <w:rPr>
          <w:rFonts w:asciiTheme="minorHAnsi" w:hAnsiTheme="minorHAnsi" w:cstheme="minorHAnsi"/>
          <w:bCs/>
          <w:sz w:val="24"/>
          <w:szCs w:val="24"/>
        </w:rPr>
        <w:t xml:space="preserve">Jeśli scenariusz bezinwestycyjny będzie zakładał poniesienie  dodatkowych nakładów celem zapewnienia funkcjonalności infrastruktury , należy ująć je pod pozycją nakładów odtworzeniowych. Ponadto, w scenariuszu bezinwestycyjnym należy uwzględnić wszystkie kategorie kosztów, </w:t>
      </w:r>
      <w:r w:rsidRPr="00CF5A4B">
        <w:rPr>
          <w:rFonts w:asciiTheme="minorHAnsi" w:hAnsiTheme="minorHAnsi" w:cstheme="minorHAnsi"/>
          <w:bCs/>
          <w:sz w:val="24"/>
          <w:szCs w:val="24"/>
        </w:rPr>
        <w:lastRenderedPageBreak/>
        <w:t>które są niezbędne do przeprowadzenia analizy</w:t>
      </w:r>
      <w:r w:rsidRPr="004B77D6">
        <w:rPr>
          <w:rFonts w:asciiTheme="minorHAnsi" w:hAnsiTheme="minorHAnsi" w:cstheme="minorHAnsi"/>
          <w:bCs/>
          <w:sz w:val="24"/>
          <w:szCs w:val="24"/>
        </w:rPr>
        <w:t xml:space="preserve"> trwałości beneficjenta z projektem, w tym również tych ponoszonych poza projektem. Należy pamiętać, że jeżeli przedmiotowe koszty zostaną ujęte zarówno w ramach wariantu bezinwestycyjnego, jak i inwestycyjnego, to w rachunku różnicowym zniosą się wzajemnie, a zatem nie będą miały wpływu na analizę finansową projektu</w:t>
      </w:r>
      <w:r w:rsidRPr="004B77D6">
        <w:rPr>
          <w:rStyle w:val="Odwoanieprzypisudolnego"/>
          <w:rFonts w:asciiTheme="minorHAnsi" w:hAnsiTheme="minorHAnsi" w:cstheme="minorHAnsi"/>
          <w:bCs/>
          <w:sz w:val="24"/>
          <w:szCs w:val="24"/>
        </w:rPr>
        <w:footnoteReference w:id="6"/>
      </w:r>
      <w:r w:rsidRPr="004B77D6">
        <w:rPr>
          <w:rFonts w:asciiTheme="minorHAnsi" w:hAnsiTheme="minorHAnsi" w:cstheme="minorHAnsi"/>
          <w:bCs/>
          <w:sz w:val="24"/>
          <w:szCs w:val="24"/>
        </w:rPr>
        <w:t>.</w:t>
      </w:r>
    </w:p>
    <w:p w14:paraId="4C24A1B0" w14:textId="43C8E3F4" w:rsidR="00C2071D" w:rsidRPr="004B77D6" w:rsidRDefault="00C2071D" w:rsidP="0089006E">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Stopa dyskontowa: </w:t>
      </w:r>
      <w:r w:rsidRPr="004B77D6">
        <w:rPr>
          <w:rFonts w:asciiTheme="minorHAnsi" w:hAnsiTheme="minorHAnsi" w:cstheme="minorHAnsi"/>
          <w:szCs w:val="24"/>
        </w:rPr>
        <w:t>stopa, przy użyciu której przyszłe wartości sprowadza się do wartości bieżącej, wyrażająca alternatywny koszt kapitału.</w:t>
      </w:r>
    </w:p>
    <w:p w14:paraId="3AF9EBFE" w14:textId="24F86F81" w:rsidR="006350E5" w:rsidRPr="004B77D6" w:rsidRDefault="006350E5" w:rsidP="0089006E">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Ustawa wdrożeniowa</w:t>
      </w:r>
      <w:r w:rsidRPr="004B77D6">
        <w:rPr>
          <w:rFonts w:asciiTheme="minorHAnsi" w:hAnsiTheme="minorHAnsi" w:cstheme="minorHAnsi"/>
          <w:szCs w:val="24"/>
        </w:rPr>
        <w:t>: ustawa z dnia 28 kwietnia 2022 r. o zasadach realizacji zadań finansowanych ze środków europejskich w perspektywie finansowej 2021-2027 (Dz. U. poz. 1079</w:t>
      </w:r>
      <w:r w:rsidR="00DE5AF1">
        <w:rPr>
          <w:rFonts w:asciiTheme="minorHAnsi" w:hAnsiTheme="minorHAnsi" w:cstheme="minorHAnsi"/>
          <w:szCs w:val="24"/>
        </w:rPr>
        <w:t xml:space="preserve"> ze zm.</w:t>
      </w:r>
      <w:r w:rsidRPr="004B77D6">
        <w:rPr>
          <w:rFonts w:asciiTheme="minorHAnsi" w:hAnsiTheme="minorHAnsi" w:cstheme="minorHAnsi"/>
          <w:szCs w:val="24"/>
        </w:rPr>
        <w:t>).</w:t>
      </w:r>
    </w:p>
    <w:p w14:paraId="445B3859" w14:textId="3FCFD89D" w:rsidR="006350E5" w:rsidRPr="004B77D6" w:rsidRDefault="006350E5" w:rsidP="0089006E">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Vademecum AE</w:t>
      </w:r>
      <w:r w:rsidRPr="004B77D6">
        <w:rPr>
          <w:rStyle w:val="Odwoanieprzypisudolnego"/>
          <w:rFonts w:asciiTheme="minorHAnsi" w:hAnsiTheme="minorHAnsi" w:cstheme="minorHAnsi"/>
          <w:b/>
          <w:bCs/>
          <w:szCs w:val="24"/>
        </w:rPr>
        <w:footnoteReference w:id="7"/>
      </w:r>
      <w:r w:rsidRPr="004B77D6">
        <w:rPr>
          <w:rFonts w:asciiTheme="minorHAnsi" w:hAnsiTheme="minorHAnsi" w:cstheme="minorHAnsi"/>
          <w:b/>
          <w:bCs/>
          <w:szCs w:val="24"/>
        </w:rPr>
        <w:t>:</w:t>
      </w:r>
      <w:r w:rsidRPr="004B77D6">
        <w:rPr>
          <w:rFonts w:asciiTheme="minorHAnsi" w:hAnsiTheme="minorHAnsi" w:cstheme="minorHAnsi"/>
          <w:szCs w:val="24"/>
        </w:rPr>
        <w:t xml:space="preserve"> Vademecum analizy ekonomicznej (ang. </w:t>
      </w:r>
      <w:proofErr w:type="spellStart"/>
      <w:r w:rsidRPr="004B77D6">
        <w:rPr>
          <w:rFonts w:asciiTheme="minorHAnsi" w:hAnsiTheme="minorHAnsi" w:cstheme="minorHAnsi"/>
          <w:szCs w:val="24"/>
        </w:rPr>
        <w:t>Economic</w:t>
      </w:r>
      <w:proofErr w:type="spellEnd"/>
      <w:r w:rsidRPr="004B77D6">
        <w:rPr>
          <w:rFonts w:asciiTheme="minorHAnsi" w:hAnsiTheme="minorHAnsi" w:cstheme="minorHAnsi"/>
          <w:szCs w:val="24"/>
        </w:rPr>
        <w:t xml:space="preserve"> </w:t>
      </w:r>
      <w:proofErr w:type="spellStart"/>
      <w:r w:rsidRPr="004B77D6">
        <w:rPr>
          <w:rFonts w:asciiTheme="minorHAnsi" w:hAnsiTheme="minorHAnsi" w:cstheme="minorHAnsi"/>
          <w:szCs w:val="24"/>
        </w:rPr>
        <w:t>Appraisal</w:t>
      </w:r>
      <w:proofErr w:type="spellEnd"/>
      <w:r w:rsidRPr="004B77D6">
        <w:rPr>
          <w:rFonts w:asciiTheme="minorHAnsi" w:hAnsiTheme="minorHAnsi" w:cstheme="minorHAnsi"/>
          <w:szCs w:val="24"/>
        </w:rPr>
        <w:t xml:space="preserve"> Vademecum 2021-2027), Komisja Europejska, wrzesień 2021. Dokument odnosi się przede wszystkim do analizy ekonomicznej, ale zawiera również odniesienia do analizy finansowej. Składa się z 2 części – ogólnej i sektorowej. Uzupełnienie dokumentu stanowi arkusz kalkulacyjny, który instytucje zarządzające mogą wykorzystać (bezpośrednio lub po uprzednim dostosowaniu) jako narzędzie do przeprowadzenia analizy ekonomicznej i ew. finansowej. Dokumentem powiązanym z Vademecum AE jest Przewodnik AKK (patrz: Wykaz pojęć – Przewodnik AKK)</w:t>
      </w:r>
    </w:p>
    <w:p w14:paraId="336B8247" w14:textId="77777777" w:rsidR="00F3330D" w:rsidRPr="004B77D6" w:rsidRDefault="00C2071D" w:rsidP="0089006E">
      <w:pPr>
        <w:numPr>
          <w:ilvl w:val="0"/>
          <w:numId w:val="40"/>
        </w:numPr>
        <w:suppressAutoHyphens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 Wartość rezydualna: </w:t>
      </w:r>
      <w:r w:rsidR="00F3330D" w:rsidRPr="004B77D6">
        <w:rPr>
          <w:rFonts w:asciiTheme="minorHAnsi" w:hAnsiTheme="minorHAnsi" w:cstheme="minorHAnsi"/>
          <w:szCs w:val="24"/>
        </w:rPr>
        <w:t xml:space="preserve">potencjał finansowy lub ekonomiczny projektu w pozostałych latach jego trwania (życia ekonomicznego), obliczony w ostatnim roku okresu odniesienia przyjętego do analizy. Wartość ta będzie zerowa lub bliska zeru jeżeli okres odniesienia będzie zbliżony do okresu życia ekonomicznego danych aktywów trwałych. Jeżeli okres życia ekonomicznego aktywów trwałych przekracza okres odniesienia, wówczas okres ten kończy się z upływem roku, w którym całkowicie zamortyzują się te aktywa. Jeżeli natomiast okres życia ekonomicznego aktywów trwałych jest krótszy niż okres odniesienia, wówczas okres ten kończy się z upływem roku, w którym całkowicie zamortyzują się nakłady odtworzeniowe poniesione w okresie odniesienia, w czasie trwania amortyzacji. W analizie finansowej wartość rezydualna określana jest w oparciu o: a) bieżącą wartość netto przepływów </w:t>
      </w:r>
      <w:r w:rsidR="00F3330D" w:rsidRPr="004B77D6">
        <w:rPr>
          <w:rFonts w:asciiTheme="minorHAnsi" w:hAnsiTheme="minorHAnsi" w:cstheme="minorHAnsi"/>
          <w:szCs w:val="24"/>
        </w:rPr>
        <w:lastRenderedPageBreak/>
        <w:t xml:space="preserve">pieniężnych, wygenerowanych przez projekt w pozostałych latach jego trwania (życia ekonomicznego), następujących po zakończeniu okresu odniesienia (patrz: Wykaz pojęć – okres odniesienia), b) inne metody, np. wycenę wartości aktywów trwałych netto, określoną przy wykorzystaniu metody i okresu amortyzacji zgodnych z polityką rachunkowości beneficjenta/operatora. W przypadku analizy ekonomicznej, metoda określania wartości rezydualnej jest zależna od metody zastosowanej w analizie finansowej: </w:t>
      </w:r>
    </w:p>
    <w:p w14:paraId="6A0DAEE4" w14:textId="77777777" w:rsidR="00F3330D" w:rsidRPr="004B77D6" w:rsidRDefault="00F3330D" w:rsidP="00F3330D">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a) metoda bieżącą wartość netto przepływów ekonomicznych, wygenerowanych przez projekt w pozostałych latach jego trwania (życia ekonomicznego), następujących po zakończeniu okresu odniesienia (patrz: Wykaz pojęć – okres odniesienia), jeśli tę metodę zastosowana w analizie finansowej; </w:t>
      </w:r>
    </w:p>
    <w:p w14:paraId="758D255A" w14:textId="6E097160" w:rsidR="00F3330D" w:rsidRPr="004B77D6" w:rsidRDefault="00F3330D" w:rsidP="00F3330D">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b) zastosowanie odpowiedniego wskaźnika konwersji w stosunku do oszacowanej wartości aktywów trwałych, jeśli w analizie finansowej zastosowano jedną z „innych metod”, </w:t>
      </w:r>
      <w:r w:rsidRPr="004B77D6">
        <w:rPr>
          <w:rFonts w:asciiTheme="minorHAnsi" w:hAnsiTheme="minorHAnsi" w:cstheme="minorHAnsi"/>
          <w:szCs w:val="24"/>
        </w:rPr>
        <w:br/>
        <w:t xml:space="preserve">o których mowa w punkcie b) powyżej. </w:t>
      </w:r>
    </w:p>
    <w:p w14:paraId="6BBF1E79" w14:textId="7BBBC90C" w:rsidR="00C2071D" w:rsidRPr="004B77D6" w:rsidRDefault="00F3330D" w:rsidP="00F3330D">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Wybór metody obliczania wartości rezydualnej w analizie finansowej i ekonomicznej, którą należy stosować w odniesieniu do danego typu projektu/działania w ramach priorytetu programu leży w kompetencji instytucji zarządzającej, z zastrzeżeniem, że wybrane przez nią podejście będzie stosowane przez wszystkich wnioskodawców, w ramach tego samego typu projektu/działania w ramach programu. Dopuszczalne jest, aby w ramach jednego projektu zastosowana została zarówno metoda oparta na bieżącej wartości netto przepływów pieniężnych, jak i inna metoda, np. metoda wyceny wartości aktywów trwałych netto. Należy przy tym pamiętać, że zastosowanie metody innej niż metody opartej o wartość przepływów pieniężnych wymaga uzasadnienia. Takie uzasadnienie może stanowić fakt, że dany składnik projektu nie generuje przychodów, ani oszczędności kosztów operacyjnych. W przypadku, </w:t>
      </w:r>
      <w:r w:rsidRPr="004B77D6">
        <w:rPr>
          <w:rFonts w:asciiTheme="minorHAnsi" w:hAnsiTheme="minorHAnsi" w:cstheme="minorHAnsi"/>
          <w:szCs w:val="24"/>
        </w:rPr>
        <w:br/>
        <w:t>w którym budynki użyteczności publicznej (w rozumieniu rozporządzenia Ministra Infrastruktury z dnia 12 kwietnia 2002 r. w sprawie warunków technicznych, jakim powinny odpowiadać budynki i ich usytuowanie (</w:t>
      </w:r>
      <w:proofErr w:type="spellStart"/>
      <w:r w:rsidR="00672030">
        <w:rPr>
          <w:rFonts w:asciiTheme="minorHAnsi" w:hAnsiTheme="minorHAnsi" w:cstheme="minorHAnsi"/>
          <w:szCs w:val="24"/>
        </w:rPr>
        <w:t>t.j</w:t>
      </w:r>
      <w:proofErr w:type="spellEnd"/>
      <w:r w:rsidR="00672030">
        <w:rPr>
          <w:rFonts w:asciiTheme="minorHAnsi" w:hAnsiTheme="minorHAnsi" w:cstheme="minorHAnsi"/>
          <w:szCs w:val="24"/>
        </w:rPr>
        <w:t xml:space="preserve">. </w:t>
      </w:r>
      <w:r w:rsidRPr="004B77D6">
        <w:rPr>
          <w:rFonts w:asciiTheme="minorHAnsi" w:hAnsiTheme="minorHAnsi" w:cstheme="minorHAnsi"/>
          <w:szCs w:val="24"/>
        </w:rPr>
        <w:t>Dz. U. z 2022 r. poz. 1225) lub budynki mieszkalne wielorodzinne, będące przedmiotem projektu, będą wykorzystywane w ten sam sposób po zakończeniu okresu odniesienia, a ponadto nie ma możliwości potencjalnego osiągnięcia korzyści finansowej w wyniku ich sprzedaży, dopuszczalne jest przyjęcie założenia, iż wartość rezydualna wynosi 0</w:t>
      </w:r>
      <w:r w:rsidRPr="004B77D6">
        <w:rPr>
          <w:rStyle w:val="Odwoanieprzypisudolnego"/>
          <w:rFonts w:asciiTheme="minorHAnsi" w:hAnsiTheme="minorHAnsi" w:cstheme="minorHAnsi"/>
          <w:szCs w:val="24"/>
        </w:rPr>
        <w:footnoteReference w:id="8"/>
      </w:r>
      <w:r w:rsidRPr="004B77D6">
        <w:rPr>
          <w:rFonts w:asciiTheme="minorHAnsi" w:hAnsiTheme="minorHAnsi" w:cstheme="minorHAnsi"/>
          <w:szCs w:val="24"/>
        </w:rPr>
        <w:t>.</w:t>
      </w:r>
    </w:p>
    <w:p w14:paraId="6B75AF24" w14:textId="0DFB4058" w:rsidR="00F3330D" w:rsidRPr="004B77D6" w:rsidRDefault="00C2071D" w:rsidP="0089006E">
      <w:pPr>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Wewnętrzna stopa zwrotu </w:t>
      </w:r>
      <w:r w:rsidRPr="004B77D6">
        <w:rPr>
          <w:rFonts w:asciiTheme="minorHAnsi" w:hAnsiTheme="minorHAnsi" w:cstheme="minorHAnsi"/>
          <w:bCs/>
          <w:szCs w:val="24"/>
        </w:rPr>
        <w:t xml:space="preserve">(ang. </w:t>
      </w:r>
      <w:proofErr w:type="spellStart"/>
      <w:r w:rsidRPr="004B77D6">
        <w:rPr>
          <w:rFonts w:asciiTheme="minorHAnsi" w:hAnsiTheme="minorHAnsi" w:cstheme="minorHAnsi"/>
          <w:bCs/>
          <w:i/>
          <w:szCs w:val="24"/>
        </w:rPr>
        <w:t>Internal</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Rate</w:t>
      </w:r>
      <w:proofErr w:type="spellEnd"/>
      <w:r w:rsidRPr="004B77D6">
        <w:rPr>
          <w:rFonts w:asciiTheme="minorHAnsi" w:hAnsiTheme="minorHAnsi" w:cstheme="minorHAnsi"/>
          <w:bCs/>
          <w:i/>
          <w:szCs w:val="24"/>
        </w:rPr>
        <w:t xml:space="preserve"> of Return – </w:t>
      </w:r>
      <w:r w:rsidRPr="004B77D6">
        <w:rPr>
          <w:rFonts w:asciiTheme="minorHAnsi" w:hAnsiTheme="minorHAnsi" w:cstheme="minorHAnsi"/>
          <w:bCs/>
          <w:szCs w:val="24"/>
        </w:rPr>
        <w:t>IRR)</w:t>
      </w:r>
      <w:r w:rsidRPr="004B77D6">
        <w:rPr>
          <w:rFonts w:asciiTheme="minorHAnsi" w:hAnsiTheme="minorHAnsi" w:cstheme="minorHAnsi"/>
          <w:b/>
          <w:bCs/>
          <w:szCs w:val="24"/>
        </w:rPr>
        <w:t xml:space="preserve">: </w:t>
      </w:r>
      <w:r w:rsidR="00F3330D" w:rsidRPr="004B77D6">
        <w:rPr>
          <w:rFonts w:asciiTheme="minorHAnsi" w:hAnsiTheme="minorHAnsi" w:cstheme="minorHAnsi"/>
          <w:szCs w:val="24"/>
        </w:rPr>
        <w:t xml:space="preserve">stopa dyskontowa, przy której bieżąca wartość netto strumienia kosztów i korzyści jest równa 0. W ramach analizy finansowej ustalana jest FRR. Natomiast w ramach analizy ekonomicznej </w:t>
      </w:r>
      <w:r w:rsidR="00F3330D" w:rsidRPr="004B77D6">
        <w:rPr>
          <w:rFonts w:asciiTheme="minorHAnsi" w:hAnsiTheme="minorHAnsi" w:cstheme="minorHAnsi"/>
          <w:szCs w:val="24"/>
        </w:rPr>
        <w:lastRenderedPageBreak/>
        <w:t xml:space="preserve">otrzymujemy ekonomiczną stopę zwrotu ERR. Wewnętrzną stopę zwrotu porównuje się </w:t>
      </w:r>
      <w:r w:rsidR="00F3330D" w:rsidRPr="004B77D6">
        <w:rPr>
          <w:rFonts w:asciiTheme="minorHAnsi" w:hAnsiTheme="minorHAnsi" w:cstheme="minorHAnsi"/>
          <w:szCs w:val="24"/>
        </w:rPr>
        <w:br/>
        <w:t>z wysokością wskaźnika wzorcowego (np. wysokością stopy dyskontowej przyjętej do analizy, wyrażającej alternatywny koszt kapitału), aby ocenić efektywność proponowanego projektu.</w:t>
      </w:r>
    </w:p>
    <w:p w14:paraId="4A346AAB" w14:textId="7AE0179A" w:rsidR="00C2071D" w:rsidRPr="004B77D6" w:rsidRDefault="00C2071D" w:rsidP="0089006E">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Wynagrodzenie ukryte: </w:t>
      </w:r>
      <w:r w:rsidRPr="004B77D6">
        <w:rPr>
          <w:rFonts w:asciiTheme="minorHAnsi" w:hAnsiTheme="minorHAnsi" w:cstheme="minorHAnsi"/>
          <w:bCs/>
          <w:szCs w:val="24"/>
        </w:rPr>
        <w:t xml:space="preserve">wynagrodzenie odzwierciedlające rzeczywisty alternatywny koszt pracy, o poziomie innym (na ogół niższym) niż wynagrodzenie obserwowane </w:t>
      </w:r>
      <w:r w:rsidRPr="004B77D6">
        <w:rPr>
          <w:rFonts w:asciiTheme="minorHAnsi" w:hAnsiTheme="minorHAnsi" w:cstheme="minorHAnsi"/>
          <w:bCs/>
          <w:szCs w:val="24"/>
        </w:rPr>
        <w:br/>
        <w:t xml:space="preserve">w gospodarce (tzw. wynagrodzenie finansowe), na skutek zniekształceń rynku pracy </w:t>
      </w:r>
      <w:r w:rsidRPr="004B77D6">
        <w:rPr>
          <w:rFonts w:asciiTheme="minorHAnsi" w:hAnsiTheme="minorHAnsi" w:cstheme="minorHAnsi"/>
          <w:bCs/>
          <w:szCs w:val="24"/>
        </w:rPr>
        <w:br/>
        <w:t>(takich jak płace minimalne, świadczenia z tytułu bezrobocia itp.)</w:t>
      </w:r>
    </w:p>
    <w:p w14:paraId="585D95DB" w14:textId="0BD1ED7E" w:rsidR="00F3330D" w:rsidRPr="004B77D6" w:rsidRDefault="00C2071D" w:rsidP="0089006E">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w:t>
      </w:r>
      <w:r w:rsidRPr="004B77D6">
        <w:rPr>
          <w:rFonts w:asciiTheme="minorHAnsi" w:hAnsiTheme="minorHAnsi" w:cstheme="minorHAnsi"/>
          <w:b/>
          <w:szCs w:val="24"/>
        </w:rPr>
        <w:t xml:space="preserve">Wytyczne w zakresie kwalifikowalności wydatków: </w:t>
      </w:r>
      <w:r w:rsidR="00F3330D" w:rsidRPr="004B77D6">
        <w:rPr>
          <w:rFonts w:asciiTheme="minorHAnsi" w:hAnsiTheme="minorHAnsi" w:cstheme="minorHAnsi"/>
          <w:bCs/>
          <w:szCs w:val="24"/>
        </w:rPr>
        <w:t>wytyczne dotyczące kwalifikowalności wydatków na lata 2021-2027.</w:t>
      </w:r>
    </w:p>
    <w:p w14:paraId="4A99DBEC" w14:textId="715083A8" w:rsidR="00F3330D" w:rsidRPr="004B77D6" w:rsidRDefault="00F3330D" w:rsidP="0089006E">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Zdyskontowane przepływy pieniężne</w:t>
      </w:r>
      <w:r w:rsidRPr="004B77D6">
        <w:rPr>
          <w:rFonts w:asciiTheme="minorHAnsi" w:hAnsiTheme="minorHAnsi" w:cstheme="minorHAnsi"/>
          <w:szCs w:val="24"/>
        </w:rPr>
        <w:t xml:space="preserve"> (ang. </w:t>
      </w:r>
      <w:proofErr w:type="spellStart"/>
      <w:r w:rsidRPr="004B77D6">
        <w:rPr>
          <w:rFonts w:asciiTheme="minorHAnsi" w:hAnsiTheme="minorHAnsi" w:cstheme="minorHAnsi"/>
          <w:szCs w:val="24"/>
        </w:rPr>
        <w:t>Discounted</w:t>
      </w:r>
      <w:proofErr w:type="spellEnd"/>
      <w:r w:rsidRPr="004B77D6">
        <w:rPr>
          <w:rFonts w:asciiTheme="minorHAnsi" w:hAnsiTheme="minorHAnsi" w:cstheme="minorHAnsi"/>
          <w:szCs w:val="24"/>
        </w:rPr>
        <w:t xml:space="preserve"> Cash </w:t>
      </w:r>
      <w:proofErr w:type="spellStart"/>
      <w:r w:rsidRPr="004B77D6">
        <w:rPr>
          <w:rFonts w:asciiTheme="minorHAnsi" w:hAnsiTheme="minorHAnsi" w:cstheme="minorHAnsi"/>
          <w:szCs w:val="24"/>
        </w:rPr>
        <w:t>Flow</w:t>
      </w:r>
      <w:proofErr w:type="spellEnd"/>
      <w:r w:rsidRPr="004B77D6">
        <w:rPr>
          <w:rFonts w:asciiTheme="minorHAnsi" w:hAnsiTheme="minorHAnsi" w:cstheme="minorHAnsi"/>
          <w:szCs w:val="24"/>
        </w:rPr>
        <w:t xml:space="preserve"> – DCF): metoda wyceny projektu, spółki lub jej poszczególnych aktywów, wykorzystująca podejście rachunku wartości pieniądza w czasie. Wszystkie przyszłe przepływy pieniężne są szacowane </w:t>
      </w:r>
      <w:r w:rsidRPr="004B77D6">
        <w:rPr>
          <w:rFonts w:asciiTheme="minorHAnsi" w:hAnsiTheme="minorHAnsi" w:cstheme="minorHAnsi"/>
          <w:szCs w:val="24"/>
        </w:rPr>
        <w:br/>
        <w:t>i dyskontowane w celu określenia ich wartości bieżącej.</w:t>
      </w:r>
    </w:p>
    <w:p w14:paraId="3334964E" w14:textId="56FC59D4" w:rsidR="00C2071D" w:rsidRPr="004B77D6" w:rsidRDefault="00C2071D" w:rsidP="0089006E">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Zmiany w kapitale obrotowym netto:</w:t>
      </w:r>
      <w:r w:rsidRPr="004B77D6">
        <w:rPr>
          <w:rFonts w:asciiTheme="minorHAnsi" w:hAnsiTheme="minorHAnsi" w:cstheme="minorHAnsi"/>
          <w:bCs/>
          <w:szCs w:val="24"/>
        </w:rPr>
        <w:t xml:space="preserve"> wzrost lub spadek kapitału obrotowego netto </w:t>
      </w:r>
      <w:r w:rsidRPr="004B77D6">
        <w:rPr>
          <w:rFonts w:asciiTheme="minorHAnsi" w:hAnsiTheme="minorHAnsi" w:cstheme="minorHAnsi"/>
          <w:bCs/>
          <w:szCs w:val="24"/>
        </w:rPr>
        <w:br/>
        <w:t xml:space="preserve">w danym okresie. Kapitał obrotowy netto stanowi różnicę pomiędzy aktywami bieżącymi </w:t>
      </w:r>
      <w:r w:rsidRPr="004B77D6">
        <w:rPr>
          <w:rFonts w:asciiTheme="minorHAnsi" w:hAnsiTheme="minorHAnsi" w:cstheme="minorHAnsi"/>
          <w:bCs/>
          <w:szCs w:val="24"/>
        </w:rPr>
        <w:br/>
        <w:t>i zobowiązaniami bieżącymi. Ponieważ kapitał obrotowy netto jest z natury zasobem, w celu przekształcenia go w strumień pieniężny uwzględniane powinny być wyłącznie przyrosty roczne, tj. zmiany w stosunku do poziomu kapitału obrotowego netto w poprzednim roku. Wzrost kapitału obrotowego netto w stosunku do poprzedniego roku traktowany jest jako rodzaj nakładu poniesionego w danym roku na rzecz projektu.</w:t>
      </w:r>
    </w:p>
    <w:p w14:paraId="0514BF78" w14:textId="21292349" w:rsidR="00C2071D" w:rsidRPr="004B77D6" w:rsidRDefault="00C2071D" w:rsidP="00C2071D">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5" w:name="_Toc477857426"/>
      <w:bookmarkStart w:id="6" w:name="_Toc127344050"/>
      <w:bookmarkStart w:id="7" w:name="_Toc184900789"/>
      <w:r w:rsidRPr="004B77D6">
        <w:rPr>
          <w:rFonts w:ascii="Calibri" w:hAnsi="Calibri"/>
          <w:sz w:val="24"/>
          <w:szCs w:val="24"/>
        </w:rPr>
        <w:t>WSTĘP</w:t>
      </w:r>
      <w:bookmarkEnd w:id="5"/>
      <w:bookmarkEnd w:id="6"/>
      <w:bookmarkEnd w:id="7"/>
    </w:p>
    <w:p w14:paraId="0802088F" w14:textId="568C18EC" w:rsidR="00C2071D" w:rsidRPr="004B77D6" w:rsidRDefault="00C2071D" w:rsidP="00C2071D">
      <w:pPr>
        <w:spacing w:before="120" w:after="120" w:line="276" w:lineRule="auto"/>
        <w:ind w:firstLine="540"/>
        <w:rPr>
          <w:rFonts w:ascii="Calibri" w:hAnsi="Calibri" w:cs="Arial"/>
          <w:bCs/>
          <w:szCs w:val="24"/>
        </w:rPr>
      </w:pPr>
      <w:r w:rsidRPr="004B77D6">
        <w:rPr>
          <w:rFonts w:ascii="Calibri" w:hAnsi="Calibri" w:cs="Arial"/>
          <w:bCs/>
          <w:szCs w:val="24"/>
        </w:rPr>
        <w:t xml:space="preserve">Studium Wykonalności Inwestycji jest obowiązkowym załącznikiem do wniosku </w:t>
      </w:r>
      <w:r w:rsidRPr="004B77D6">
        <w:rPr>
          <w:rFonts w:ascii="Calibri" w:hAnsi="Calibri" w:cs="Arial"/>
          <w:bCs/>
          <w:szCs w:val="24"/>
        </w:rPr>
        <w:br/>
        <w:t xml:space="preserve">o dofinansowanie w ramach </w:t>
      </w:r>
      <w:r w:rsidR="00402E6E" w:rsidRPr="004B77D6">
        <w:rPr>
          <w:rFonts w:ascii="Calibri" w:hAnsi="Calibri" w:cs="Arial"/>
          <w:bCs/>
          <w:szCs w:val="24"/>
        </w:rPr>
        <w:t xml:space="preserve">programu Fundusze Europejskie dla Opolskiego </w:t>
      </w:r>
      <w:r w:rsidRPr="004B77D6">
        <w:rPr>
          <w:rFonts w:ascii="Calibri" w:hAnsi="Calibri" w:cs="Arial"/>
          <w:bCs/>
          <w:szCs w:val="24"/>
        </w:rPr>
        <w:t>20</w:t>
      </w:r>
      <w:r w:rsidR="00402E6E" w:rsidRPr="004B77D6">
        <w:rPr>
          <w:rFonts w:ascii="Calibri" w:hAnsi="Calibri" w:cs="Arial"/>
          <w:bCs/>
          <w:szCs w:val="24"/>
        </w:rPr>
        <w:t>21</w:t>
      </w:r>
      <w:r w:rsidRPr="004B77D6">
        <w:rPr>
          <w:rFonts w:ascii="Calibri" w:hAnsi="Calibri" w:cs="Arial"/>
          <w:bCs/>
          <w:szCs w:val="24"/>
        </w:rPr>
        <w:t>-202</w:t>
      </w:r>
      <w:r w:rsidR="00402E6E" w:rsidRPr="004B77D6">
        <w:rPr>
          <w:rFonts w:ascii="Calibri" w:hAnsi="Calibri" w:cs="Arial"/>
          <w:bCs/>
          <w:szCs w:val="24"/>
        </w:rPr>
        <w:t>7</w:t>
      </w:r>
      <w:r w:rsidRPr="004B77D6">
        <w:rPr>
          <w:rFonts w:ascii="Calibri" w:hAnsi="Calibri" w:cs="Arial"/>
          <w:bCs/>
          <w:szCs w:val="24"/>
        </w:rPr>
        <w:t xml:space="preserve">. </w:t>
      </w:r>
    </w:p>
    <w:p w14:paraId="510EFEA2" w14:textId="57A4F890" w:rsidR="00C2071D" w:rsidRPr="004B77D6" w:rsidRDefault="00C2071D" w:rsidP="00C2071D">
      <w:pPr>
        <w:spacing w:before="120" w:after="120" w:line="276" w:lineRule="auto"/>
        <w:ind w:firstLine="540"/>
        <w:rPr>
          <w:rFonts w:ascii="Calibri" w:hAnsi="Calibri"/>
          <w:szCs w:val="24"/>
        </w:rPr>
      </w:pPr>
      <w:r w:rsidRPr="004B77D6">
        <w:rPr>
          <w:rFonts w:ascii="Calibri" w:hAnsi="Calibri" w:cs="Arial"/>
          <w:bCs/>
          <w:szCs w:val="24"/>
        </w:rPr>
        <w:t>Niniejsza instrukcja została sporządzona z myślą o osobach przygotowujących Studia Wykonalności. Dokument zawiera wytyczne pozwalające na opracowanie Studium w taki sposób, aby eksperci mogli uzyskać wystarczającą informację niezbędną do dokonania oceny i analizy projektu w oparciu o jasno określone przez Instytucję Zarządzającą kryteria merytoryczne, finansowe i ekonomiczne. Wszelkie dane zawarte w SWI powinny w pełni odpowiadać stanowi faktycznemu</w:t>
      </w:r>
      <w:r w:rsidRPr="004B77D6">
        <w:rPr>
          <w:rFonts w:ascii="Calibri" w:hAnsi="Calibri"/>
          <w:szCs w:val="24"/>
        </w:rPr>
        <w:t xml:space="preserve">, </w:t>
      </w:r>
      <w:r w:rsidRPr="004B77D6">
        <w:rPr>
          <w:rFonts w:ascii="Calibri" w:hAnsi="Calibri"/>
          <w:b/>
          <w:i/>
          <w:szCs w:val="24"/>
        </w:rPr>
        <w:t>wnioskodawca ponosi pełną odpowiedzialność za informacje zawarte w składanych dokumentach</w:t>
      </w:r>
      <w:r w:rsidRPr="004B77D6">
        <w:rPr>
          <w:rFonts w:ascii="Calibri" w:hAnsi="Calibri"/>
          <w:szCs w:val="24"/>
        </w:rPr>
        <w:t>.</w:t>
      </w:r>
    </w:p>
    <w:p w14:paraId="474B7EE4" w14:textId="77777777" w:rsidR="00C2071D" w:rsidRPr="004B77D6" w:rsidRDefault="00C2071D" w:rsidP="00C2071D">
      <w:pPr>
        <w:autoSpaceDE w:val="0"/>
        <w:autoSpaceDN w:val="0"/>
        <w:adjustRightInd w:val="0"/>
        <w:spacing w:before="120" w:after="120" w:line="276" w:lineRule="auto"/>
        <w:ind w:firstLine="540"/>
        <w:rPr>
          <w:rFonts w:ascii="Calibri" w:hAnsi="Calibri"/>
          <w:szCs w:val="24"/>
        </w:rPr>
      </w:pPr>
      <w:r w:rsidRPr="004B77D6">
        <w:rPr>
          <w:rFonts w:ascii="Calibri" w:hAnsi="Calibri"/>
          <w:szCs w:val="24"/>
        </w:rPr>
        <w:t>W Studium należy szczegółowo opisać cele projektu, sposób ich osiągania i warunki realizacji, zidentyfikować możliwości inwestycyjne, w oparciu o</w:t>
      </w:r>
      <w:r w:rsidRPr="004B77D6">
        <w:rPr>
          <w:rFonts w:ascii="Calibri" w:eastAsia="TimesNewRoman" w:hAnsi="Calibri"/>
          <w:szCs w:val="24"/>
        </w:rPr>
        <w:t xml:space="preserve"> </w:t>
      </w:r>
      <w:r w:rsidRPr="004B77D6">
        <w:rPr>
          <w:rFonts w:ascii="Calibri" w:hAnsi="Calibri"/>
          <w:szCs w:val="24"/>
        </w:rPr>
        <w:t>wymogi wykonalno</w:t>
      </w:r>
      <w:r w:rsidRPr="004B77D6">
        <w:rPr>
          <w:rFonts w:ascii="Calibri" w:eastAsia="TimesNewRoman" w:hAnsi="Calibri"/>
          <w:szCs w:val="24"/>
        </w:rPr>
        <w:t>ś</w:t>
      </w:r>
      <w:r w:rsidRPr="004B77D6">
        <w:rPr>
          <w:rFonts w:ascii="Calibri" w:hAnsi="Calibri"/>
          <w:szCs w:val="24"/>
        </w:rPr>
        <w:t xml:space="preserve">ci </w:t>
      </w:r>
      <w:r w:rsidRPr="004B77D6">
        <w:rPr>
          <w:rFonts w:ascii="Calibri" w:hAnsi="Calibri"/>
          <w:szCs w:val="24"/>
        </w:rPr>
        <w:br/>
        <w:t>i trwało</w:t>
      </w:r>
      <w:r w:rsidRPr="004B77D6">
        <w:rPr>
          <w:rFonts w:ascii="Calibri" w:eastAsia="TimesNewRoman" w:hAnsi="Calibri"/>
          <w:szCs w:val="24"/>
        </w:rPr>
        <w:t>ś</w:t>
      </w:r>
      <w:r w:rsidRPr="004B77D6">
        <w:rPr>
          <w:rFonts w:ascii="Calibri" w:hAnsi="Calibri"/>
          <w:szCs w:val="24"/>
        </w:rPr>
        <w:t>ci efektów projektu oraz pokazać zasadno</w:t>
      </w:r>
      <w:r w:rsidRPr="004B77D6">
        <w:rPr>
          <w:rFonts w:ascii="Calibri" w:eastAsia="TimesNewRoman" w:hAnsi="Calibri"/>
          <w:szCs w:val="24"/>
        </w:rPr>
        <w:t>ś</w:t>
      </w:r>
      <w:r w:rsidRPr="004B77D6">
        <w:rPr>
          <w:rFonts w:ascii="Calibri" w:hAnsi="Calibri"/>
          <w:szCs w:val="24"/>
        </w:rPr>
        <w:t>ć realizowanego przedsięwzięcia. Zasadno</w:t>
      </w:r>
      <w:r w:rsidRPr="004B77D6">
        <w:rPr>
          <w:rFonts w:ascii="Calibri" w:eastAsia="TimesNewRoman" w:hAnsi="Calibri"/>
          <w:szCs w:val="24"/>
        </w:rPr>
        <w:t xml:space="preserve">ść </w:t>
      </w:r>
      <w:r w:rsidRPr="004B77D6">
        <w:rPr>
          <w:rFonts w:ascii="Calibri" w:hAnsi="Calibri"/>
          <w:szCs w:val="24"/>
        </w:rPr>
        <w:t>musi dotyczy</w:t>
      </w:r>
      <w:r w:rsidRPr="004B77D6">
        <w:rPr>
          <w:rFonts w:ascii="Calibri" w:eastAsia="TimesNewRoman" w:hAnsi="Calibri"/>
          <w:szCs w:val="24"/>
        </w:rPr>
        <w:t xml:space="preserve">ć </w:t>
      </w:r>
      <w:r w:rsidRPr="004B77D6">
        <w:rPr>
          <w:rFonts w:ascii="Calibri" w:hAnsi="Calibri"/>
          <w:szCs w:val="24"/>
        </w:rPr>
        <w:t>wszystkich elementów projektu, gdyż w przeciwnym wypadku koszty dotyczące części nieuzasadnionej trzeba będzie uzna</w:t>
      </w:r>
      <w:r w:rsidRPr="004B77D6">
        <w:rPr>
          <w:rFonts w:ascii="Calibri" w:eastAsia="TimesNewRoman" w:hAnsi="Calibri"/>
          <w:szCs w:val="24"/>
        </w:rPr>
        <w:t xml:space="preserve">ć </w:t>
      </w:r>
      <w:r w:rsidRPr="004B77D6">
        <w:rPr>
          <w:rFonts w:ascii="Calibri" w:hAnsi="Calibri"/>
          <w:szCs w:val="24"/>
        </w:rPr>
        <w:t xml:space="preserve">za niekwalifikowane. Instrukcja </w:t>
      </w:r>
      <w:r w:rsidRPr="004B77D6">
        <w:rPr>
          <w:rFonts w:ascii="Calibri" w:hAnsi="Calibri"/>
          <w:szCs w:val="24"/>
        </w:rPr>
        <w:lastRenderedPageBreak/>
        <w:t>ta pozwala precyzyjnie zaplanować działanie i zawczasu przewidzieć trudności. Pomaga ocenić opłacalność inwestycji poprzez wcześniejsze oszacowanie kosztów.</w:t>
      </w:r>
    </w:p>
    <w:p w14:paraId="364FDC34" w14:textId="77777777" w:rsidR="00C2071D" w:rsidRPr="004B77D6" w:rsidRDefault="00C2071D" w:rsidP="00C2071D">
      <w:pPr>
        <w:autoSpaceDE w:val="0"/>
        <w:autoSpaceDN w:val="0"/>
        <w:adjustRightInd w:val="0"/>
        <w:spacing w:before="120" w:after="120" w:line="276" w:lineRule="auto"/>
        <w:ind w:firstLine="540"/>
        <w:rPr>
          <w:rFonts w:ascii="Calibri" w:hAnsi="Calibri"/>
          <w:szCs w:val="24"/>
        </w:rPr>
      </w:pPr>
      <w:r w:rsidRPr="004B77D6">
        <w:rPr>
          <w:rFonts w:ascii="Calibri" w:hAnsi="Calibri"/>
          <w:szCs w:val="24"/>
        </w:rPr>
        <w:t xml:space="preserve">Opracowując SWI należy mieć na uwadze </w:t>
      </w:r>
      <w:r w:rsidRPr="004B77D6">
        <w:rPr>
          <w:rFonts w:ascii="Calibri" w:hAnsi="Calibri"/>
          <w:i/>
          <w:szCs w:val="24"/>
        </w:rPr>
        <w:t>cykl życia projektu</w:t>
      </w:r>
      <w:r w:rsidRPr="004B77D6">
        <w:rPr>
          <w:rFonts w:ascii="Calibri" w:hAnsi="Calibri"/>
          <w:szCs w:val="24"/>
        </w:rPr>
        <w:t>, uwzględniając kolejno etapy od planowania strategicznego, tj. identyfikacji potrzeb i możliwości, poprzez projektowanie, wdrażanie, rozliczanie i ewaluację.</w:t>
      </w:r>
    </w:p>
    <w:p w14:paraId="01F67286" w14:textId="77777777" w:rsidR="00B34EE2" w:rsidRPr="004B77D6" w:rsidRDefault="00B34EE2" w:rsidP="00C2071D">
      <w:pPr>
        <w:autoSpaceDE w:val="0"/>
        <w:autoSpaceDN w:val="0"/>
        <w:adjustRightInd w:val="0"/>
        <w:spacing w:before="120" w:after="120" w:line="276" w:lineRule="auto"/>
        <w:ind w:firstLine="540"/>
        <w:rPr>
          <w:rFonts w:ascii="Calibri" w:hAnsi="Calibri"/>
          <w:szCs w:val="24"/>
        </w:rPr>
      </w:pPr>
    </w:p>
    <w:p w14:paraId="30BF7588" w14:textId="77777777" w:rsidR="00C2071D" w:rsidRPr="004B77D6" w:rsidRDefault="00C2071D" w:rsidP="00C2071D">
      <w:pPr>
        <w:spacing w:before="120" w:after="120" w:line="276" w:lineRule="auto"/>
        <w:ind w:firstLine="540"/>
        <w:rPr>
          <w:rFonts w:ascii="Calibri" w:hAnsi="Calibri"/>
          <w:szCs w:val="24"/>
        </w:rPr>
      </w:pPr>
      <w:r w:rsidRPr="004B77D6">
        <w:rPr>
          <w:rFonts w:ascii="Calibri" w:hAnsi="Calibri"/>
          <w:szCs w:val="24"/>
        </w:rPr>
        <w:t>Studium Wykonalności Inwestycji składa się z następujących podstawowych elementów:</w:t>
      </w:r>
    </w:p>
    <w:p w14:paraId="3C0CB68D"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Identyfikacja projektu;</w:t>
      </w:r>
    </w:p>
    <w:p w14:paraId="4EC41863"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Definicja celów projektu;</w:t>
      </w:r>
    </w:p>
    <w:p w14:paraId="53E86DA6"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Analiza instytucjonalna i wykonalności projektu;</w:t>
      </w:r>
    </w:p>
    <w:p w14:paraId="16C3516C"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Analiza popytu oraz opcji;</w:t>
      </w:r>
    </w:p>
    <w:p w14:paraId="5E176716"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Zastosowane uproszczone metody rozliczania wydatków;</w:t>
      </w:r>
    </w:p>
    <w:p w14:paraId="42DAA271"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Analiza finansowa;</w:t>
      </w:r>
    </w:p>
    <w:p w14:paraId="58968EA8" w14:textId="77777777" w:rsidR="00C2071D" w:rsidRPr="004B77D6" w:rsidRDefault="00C2071D" w:rsidP="0089006E">
      <w:pPr>
        <w:numPr>
          <w:ilvl w:val="0"/>
          <w:numId w:val="21"/>
        </w:numPr>
        <w:suppressAutoHyphens w:val="0"/>
        <w:spacing w:line="276" w:lineRule="auto"/>
        <w:ind w:firstLine="0"/>
        <w:rPr>
          <w:rFonts w:ascii="Calibri" w:hAnsi="Calibri"/>
          <w:szCs w:val="24"/>
        </w:rPr>
      </w:pPr>
      <w:r w:rsidRPr="004B77D6">
        <w:rPr>
          <w:rFonts w:ascii="Calibri" w:hAnsi="Calibri"/>
          <w:szCs w:val="24"/>
        </w:rPr>
        <w:t>Analiza ekonomiczna;</w:t>
      </w:r>
    </w:p>
    <w:p w14:paraId="22EBB96C" w14:textId="77777777" w:rsidR="00C2071D" w:rsidRPr="004B77D6" w:rsidRDefault="00C2071D" w:rsidP="0089006E">
      <w:pPr>
        <w:numPr>
          <w:ilvl w:val="0"/>
          <w:numId w:val="21"/>
        </w:numPr>
        <w:suppressAutoHyphens w:val="0"/>
        <w:spacing w:line="276" w:lineRule="auto"/>
        <w:ind w:left="714" w:firstLine="0"/>
        <w:rPr>
          <w:rFonts w:ascii="Calibri" w:hAnsi="Calibri"/>
          <w:szCs w:val="24"/>
        </w:rPr>
      </w:pPr>
      <w:r w:rsidRPr="004B77D6">
        <w:rPr>
          <w:rFonts w:ascii="Calibri" w:hAnsi="Calibri"/>
          <w:szCs w:val="24"/>
        </w:rPr>
        <w:t>Specyficzna analiza dla danego rodzaju projektu/sektora;</w:t>
      </w:r>
    </w:p>
    <w:p w14:paraId="48351769" w14:textId="77777777" w:rsidR="00C2071D" w:rsidRPr="004B77D6" w:rsidRDefault="00C2071D" w:rsidP="0089006E">
      <w:pPr>
        <w:numPr>
          <w:ilvl w:val="0"/>
          <w:numId w:val="21"/>
        </w:numPr>
        <w:suppressAutoHyphens w:val="0"/>
        <w:spacing w:line="276" w:lineRule="auto"/>
        <w:ind w:left="714" w:firstLine="0"/>
        <w:rPr>
          <w:rFonts w:ascii="Calibri" w:hAnsi="Calibri"/>
          <w:szCs w:val="24"/>
        </w:rPr>
      </w:pPr>
      <w:r w:rsidRPr="004B77D6">
        <w:rPr>
          <w:rFonts w:ascii="Calibri" w:hAnsi="Calibri"/>
          <w:szCs w:val="24"/>
        </w:rPr>
        <w:t>Odniesienie do kryteriów oceny projektu;</w:t>
      </w:r>
    </w:p>
    <w:p w14:paraId="37CFF34F" w14:textId="303DBA63" w:rsidR="00C2071D" w:rsidRPr="004B77D6" w:rsidRDefault="00C2071D" w:rsidP="00CF1300">
      <w:pPr>
        <w:suppressAutoHyphens w:val="0"/>
        <w:spacing w:after="240" w:line="276" w:lineRule="auto"/>
        <w:ind w:left="714"/>
        <w:rPr>
          <w:rFonts w:ascii="Calibri" w:hAnsi="Calibri"/>
          <w:szCs w:val="24"/>
        </w:rPr>
      </w:pPr>
    </w:p>
    <w:p w14:paraId="3FB5E136" w14:textId="77777777" w:rsidR="00C2071D" w:rsidRPr="004B77D6" w:rsidRDefault="00C2071D" w:rsidP="00C2071D">
      <w:pPr>
        <w:autoSpaceDE w:val="0"/>
        <w:autoSpaceDN w:val="0"/>
        <w:adjustRightInd w:val="0"/>
        <w:spacing w:after="240" w:line="276" w:lineRule="auto"/>
        <w:ind w:firstLine="708"/>
        <w:rPr>
          <w:rFonts w:ascii="Calibri" w:hAnsi="Calibri"/>
          <w:szCs w:val="24"/>
        </w:rPr>
      </w:pPr>
      <w:r w:rsidRPr="004B77D6">
        <w:rPr>
          <w:rFonts w:ascii="Calibri" w:hAnsi="Calibri"/>
          <w:szCs w:val="24"/>
        </w:rPr>
        <w:t>Załącznik obliczeniowy stanowiący część studium wykonalności powinien umożliwiać weryfikację dokonanych wyliczeń (odblokowane formuły) oraz powinien zawierać wydzieloną część zawierającą założenia będące podstawą wyliczeń.</w:t>
      </w:r>
    </w:p>
    <w:p w14:paraId="3F8DA158" w14:textId="6B4D4FA4" w:rsidR="00C2071D" w:rsidRPr="004B77D6" w:rsidRDefault="00C2071D" w:rsidP="00C2071D">
      <w:pPr>
        <w:pStyle w:val="Nagwek1"/>
        <w:numPr>
          <w:ilvl w:val="2"/>
          <w:numId w:val="7"/>
        </w:numPr>
        <w:tabs>
          <w:tab w:val="clear" w:pos="993"/>
          <w:tab w:val="num" w:pos="1134"/>
        </w:tabs>
        <w:spacing w:before="0" w:after="120" w:line="276" w:lineRule="auto"/>
        <w:ind w:left="851"/>
        <w:rPr>
          <w:rFonts w:ascii="Calibri" w:hAnsi="Calibri"/>
          <w:sz w:val="24"/>
          <w:szCs w:val="24"/>
        </w:rPr>
      </w:pPr>
      <w:bookmarkStart w:id="8" w:name="_Toc477857427"/>
      <w:bookmarkStart w:id="9" w:name="_Toc127344051"/>
      <w:bookmarkStart w:id="10" w:name="_Toc184900790"/>
      <w:r w:rsidRPr="004B77D6">
        <w:rPr>
          <w:rFonts w:ascii="Calibri" w:hAnsi="Calibri"/>
          <w:sz w:val="24"/>
          <w:szCs w:val="24"/>
        </w:rPr>
        <w:t>IDENTYFIKACJA PROJEKTU</w:t>
      </w:r>
      <w:bookmarkEnd w:id="8"/>
      <w:bookmarkEnd w:id="9"/>
      <w:bookmarkEnd w:id="10"/>
    </w:p>
    <w:p w14:paraId="377386CF" w14:textId="4442BEAA" w:rsidR="00C2071D" w:rsidRPr="004B77D6" w:rsidRDefault="00C2071D" w:rsidP="00C2071D">
      <w:pPr>
        <w:spacing w:line="276" w:lineRule="auto"/>
        <w:ind w:firstLine="709"/>
        <w:rPr>
          <w:rFonts w:ascii="Calibri" w:hAnsi="Calibri"/>
          <w:szCs w:val="24"/>
        </w:rPr>
      </w:pPr>
      <w:r w:rsidRPr="004B77D6">
        <w:rPr>
          <w:rFonts w:ascii="Calibri" w:hAnsi="Calibri"/>
          <w:szCs w:val="24"/>
        </w:rPr>
        <w:t xml:space="preserve">Identyfikacja projektu ma na celu prezentację projektu jako przedmiotu realizowanego przedsięwzięcia wraz z opisem, podaniem podstawowych parametrów technicznych, całkowitym kosztem inwestycji, wysokością kosztów kwalifikowanych, </w:t>
      </w:r>
      <w:r w:rsidR="00241250" w:rsidRPr="00E2071C">
        <w:rPr>
          <w:rFonts w:ascii="Calibri" w:hAnsi="Calibri"/>
          <w:bCs/>
          <w:szCs w:val="24"/>
        </w:rPr>
        <w:t>wydatkami na dostępność</w:t>
      </w:r>
      <w:r w:rsidR="00241250" w:rsidRPr="00E2071C">
        <w:rPr>
          <w:rFonts w:ascii="Calibri" w:hAnsi="Calibri"/>
          <w:b/>
          <w:szCs w:val="24"/>
        </w:rPr>
        <w:t xml:space="preserve"> </w:t>
      </w:r>
      <w:r w:rsidR="00241250" w:rsidRPr="00E2071C">
        <w:rPr>
          <w:rFonts w:ascii="Calibri" w:hAnsi="Calibri"/>
          <w:bCs/>
          <w:szCs w:val="24"/>
        </w:rPr>
        <w:t>(wraz z metodologią ich obliczenia)</w:t>
      </w:r>
      <w:r w:rsidR="00241250">
        <w:rPr>
          <w:rFonts w:ascii="Calibri" w:hAnsi="Calibri"/>
          <w:bCs/>
          <w:szCs w:val="24"/>
        </w:rPr>
        <w:t xml:space="preserve">, </w:t>
      </w:r>
      <w:r w:rsidRPr="004B77D6">
        <w:rPr>
          <w:rFonts w:ascii="Calibri" w:hAnsi="Calibri"/>
          <w:szCs w:val="24"/>
        </w:rPr>
        <w:t>lokalizacją, poziomem dofinansowania, itp.</w:t>
      </w:r>
    </w:p>
    <w:p w14:paraId="660784DE" w14:textId="70706D24" w:rsidR="00C2071D" w:rsidRPr="004B77D6" w:rsidRDefault="00C2071D" w:rsidP="00C2071D">
      <w:pPr>
        <w:pStyle w:val="Nagwek1"/>
        <w:numPr>
          <w:ilvl w:val="2"/>
          <w:numId w:val="7"/>
        </w:numPr>
        <w:tabs>
          <w:tab w:val="clear" w:pos="993"/>
          <w:tab w:val="num" w:pos="1134"/>
        </w:tabs>
        <w:spacing w:after="120" w:line="276" w:lineRule="auto"/>
        <w:ind w:left="851"/>
        <w:rPr>
          <w:rFonts w:ascii="Calibri" w:hAnsi="Calibri"/>
          <w:sz w:val="24"/>
          <w:szCs w:val="24"/>
        </w:rPr>
      </w:pPr>
      <w:bookmarkStart w:id="11" w:name="_Toc477857428"/>
      <w:bookmarkStart w:id="12" w:name="_Toc127344052"/>
      <w:bookmarkStart w:id="13" w:name="_Toc184900791"/>
      <w:r w:rsidRPr="004B77D6">
        <w:rPr>
          <w:rFonts w:ascii="Calibri" w:hAnsi="Calibri"/>
          <w:sz w:val="24"/>
          <w:szCs w:val="24"/>
        </w:rPr>
        <w:t>DEFINICJA CELÓW PROJEKTU</w:t>
      </w:r>
      <w:bookmarkEnd w:id="11"/>
      <w:bookmarkEnd w:id="12"/>
      <w:bookmarkEnd w:id="13"/>
    </w:p>
    <w:p w14:paraId="49813867" w14:textId="77777777" w:rsidR="00C2071D" w:rsidRPr="004B77D6" w:rsidRDefault="00C2071D" w:rsidP="00C2071D">
      <w:pPr>
        <w:spacing w:line="276" w:lineRule="auto"/>
        <w:ind w:firstLine="709"/>
        <w:rPr>
          <w:rFonts w:ascii="Calibri" w:hAnsi="Calibri"/>
          <w:szCs w:val="24"/>
        </w:rPr>
      </w:pPr>
      <w:r w:rsidRPr="004B77D6">
        <w:rPr>
          <w:rFonts w:ascii="Calibri" w:hAnsi="Calibri"/>
          <w:szCs w:val="24"/>
        </w:rPr>
        <w:t>Identyfikacja projektu powinna dostarczyć zwięzłej i jednoznacznej informacji na temat jego całościowej koncepcji. Powinna obejmować następujące kwestie: zarys i ogólny charakter projektu (tj. prezentację projektu jako przedmiotu realizowanego przedsięwzięcia wraz z opisem, podaniem podstawowych parametrów technicznych, całkowitym kosztem inwestycji, w tym całkowitym kosztem kwalifikowalnym, poziomem dofinansowania, lokalizacją, itp.</w:t>
      </w:r>
    </w:p>
    <w:p w14:paraId="7D5D95A4" w14:textId="77777777" w:rsidR="00C2071D" w:rsidRPr="004B77D6" w:rsidRDefault="00C2071D" w:rsidP="00C2071D">
      <w:pPr>
        <w:pStyle w:val="Tekstpodstawowy22"/>
        <w:spacing w:before="120" w:after="120" w:line="276" w:lineRule="auto"/>
        <w:ind w:firstLine="539"/>
        <w:jc w:val="left"/>
        <w:rPr>
          <w:rFonts w:ascii="Calibri" w:hAnsi="Calibri"/>
          <w:szCs w:val="24"/>
        </w:rPr>
      </w:pPr>
      <w:r w:rsidRPr="004B77D6">
        <w:rPr>
          <w:rFonts w:ascii="Calibri" w:hAnsi="Calibri"/>
          <w:szCs w:val="24"/>
        </w:rPr>
        <w:lastRenderedPageBreak/>
        <w:t xml:space="preserve">Cele projektu, zarówno te bezpośrednie, jak i pośrednie, powinny zostać określone </w:t>
      </w:r>
      <w:r w:rsidRPr="004B77D6">
        <w:rPr>
          <w:rFonts w:ascii="Calibri" w:hAnsi="Calibri"/>
          <w:szCs w:val="24"/>
        </w:rPr>
        <w:br/>
        <w:t xml:space="preserve">w oparciu o analizę potrzeb danego środowiska społeczno- gospodarczego, </w:t>
      </w:r>
      <w:r w:rsidRPr="004B77D6">
        <w:rPr>
          <w:rFonts w:ascii="Calibri" w:hAnsi="Calibri"/>
          <w:szCs w:val="24"/>
        </w:rPr>
        <w:br/>
        <w:t xml:space="preserve">z uwzględnieniem zjawisk najbardziej adekwatnych do skali oddziaływania projektu. </w:t>
      </w:r>
    </w:p>
    <w:p w14:paraId="0A42A6B3" w14:textId="77777777" w:rsidR="00C2071D" w:rsidRPr="004B77D6" w:rsidRDefault="00C2071D" w:rsidP="00C2071D">
      <w:pPr>
        <w:pStyle w:val="Tekstpodstawowy22"/>
        <w:spacing w:before="120" w:after="120" w:line="276" w:lineRule="auto"/>
        <w:ind w:firstLine="539"/>
        <w:jc w:val="left"/>
        <w:rPr>
          <w:rFonts w:ascii="Calibri" w:hAnsi="Calibri"/>
          <w:szCs w:val="24"/>
        </w:rPr>
      </w:pPr>
      <w:r w:rsidRPr="004B77D6">
        <w:rPr>
          <w:rFonts w:ascii="Calibri" w:hAnsi="Calibri"/>
          <w:szCs w:val="24"/>
        </w:rPr>
        <w:t>Należy zwrócić uwagę, aby cele projektu zdefiniowane w analizie spełniały następujące założenia:</w:t>
      </w:r>
    </w:p>
    <w:p w14:paraId="3A01C6B8" w14:textId="77777777" w:rsidR="00C2071D" w:rsidRPr="004B77D6" w:rsidRDefault="00C2071D" w:rsidP="0089006E">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jasno wskazywały, jakie korzyści społeczno-gospodarcze można osiągnąć dzięki wdrożeniu projektu,</w:t>
      </w:r>
    </w:p>
    <w:p w14:paraId="71314254" w14:textId="77777777" w:rsidR="00C2071D" w:rsidRPr="004B77D6" w:rsidRDefault="00C2071D" w:rsidP="0089006E">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były logicznie powiązane ze sobą (w przypadku gdy w ramach projektu realizowanych jest jednocześnie kilka celów),</w:t>
      </w:r>
    </w:p>
    <w:p w14:paraId="09CA8748" w14:textId="77777777" w:rsidR="00C2071D" w:rsidRPr="004B77D6" w:rsidRDefault="00C2071D" w:rsidP="0089006E">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na tyle, na ile to możliwe powinny zostać skwantyfikowane, poprzez określenie wartości bazowych i docelowych oraz metodę pomiaru poziomu ich osiągnięcia,</w:t>
      </w:r>
    </w:p>
    <w:p w14:paraId="39B484E3" w14:textId="77777777" w:rsidR="00C2071D" w:rsidRPr="004B77D6" w:rsidRDefault="00C2071D" w:rsidP="0089006E">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były logicznie powiązane z ogólnymi celami odnośnych funduszy, tj. wymagane jest określenie zbieżności celów projektu z celami realizacji danej osi priorytetowej programu operacyjnego.</w:t>
      </w:r>
    </w:p>
    <w:p w14:paraId="5D5AC6FD" w14:textId="1DE19CDC" w:rsidR="00C2071D" w:rsidRPr="004B77D6" w:rsidRDefault="00C2071D" w:rsidP="00C2071D">
      <w:pPr>
        <w:pStyle w:val="Nagwek1"/>
        <w:numPr>
          <w:ilvl w:val="2"/>
          <w:numId w:val="7"/>
        </w:numPr>
        <w:tabs>
          <w:tab w:val="clear" w:pos="993"/>
          <w:tab w:val="num" w:pos="1134"/>
        </w:tabs>
        <w:spacing w:before="360" w:after="120" w:line="276" w:lineRule="auto"/>
        <w:ind w:left="851"/>
        <w:rPr>
          <w:rFonts w:ascii="Calibri" w:hAnsi="Calibri"/>
          <w:sz w:val="24"/>
          <w:szCs w:val="24"/>
        </w:rPr>
      </w:pPr>
      <w:bookmarkStart w:id="14" w:name="_Toc477857429"/>
      <w:bookmarkStart w:id="15" w:name="_Toc127344053"/>
      <w:bookmarkStart w:id="16" w:name="_Toc184900792"/>
      <w:r w:rsidRPr="004B77D6">
        <w:rPr>
          <w:rFonts w:ascii="Calibri" w:hAnsi="Calibri"/>
          <w:sz w:val="24"/>
          <w:szCs w:val="24"/>
        </w:rPr>
        <w:t>ANALIZA INSTYTUCJONALNA I WYKONALNOŚCI PROJEKTU</w:t>
      </w:r>
      <w:bookmarkEnd w:id="14"/>
      <w:bookmarkEnd w:id="15"/>
      <w:bookmarkEnd w:id="16"/>
    </w:p>
    <w:p w14:paraId="7E90BF88" w14:textId="58F5ECE2" w:rsidR="00C2071D" w:rsidRPr="004B77D6" w:rsidRDefault="00C2071D" w:rsidP="00C2071D">
      <w:pPr>
        <w:pStyle w:val="Tekstpodstawowy22"/>
        <w:spacing w:before="120" w:after="120" w:line="276" w:lineRule="auto"/>
        <w:ind w:firstLine="426"/>
        <w:jc w:val="left"/>
        <w:rPr>
          <w:rFonts w:ascii="Calibri" w:hAnsi="Calibri"/>
          <w:szCs w:val="24"/>
        </w:rPr>
      </w:pPr>
      <w:r w:rsidRPr="004B77D6">
        <w:rPr>
          <w:rFonts w:ascii="Calibri" w:hAnsi="Calibri"/>
          <w:szCs w:val="24"/>
        </w:rPr>
        <w:t>Celem analizy wykonalności jest zidentyfikowanie możliwych do zastosowania rozwiązań inwestycyjnych, które można uznać za wykonalne m.in. pod względem technicznym, ekonomicznym, śro</w:t>
      </w:r>
      <w:r w:rsidR="00C30A65">
        <w:rPr>
          <w:rFonts w:ascii="Calibri" w:hAnsi="Calibri"/>
          <w:szCs w:val="24"/>
        </w:rPr>
        <w:t>dowiskowym i instytucjonalnym.</w:t>
      </w:r>
      <w:r w:rsidR="00C30A65">
        <w:rPr>
          <w:rFonts w:ascii="Calibri" w:hAnsi="Calibri"/>
          <w:szCs w:val="24"/>
        </w:rPr>
        <w:br/>
      </w:r>
    </w:p>
    <w:p w14:paraId="1210CCA1" w14:textId="77777777" w:rsidR="00C2071D" w:rsidRPr="004B77D6" w:rsidRDefault="00C2071D" w:rsidP="00C2071D">
      <w:pPr>
        <w:pStyle w:val="Tekstpodstawowy22"/>
        <w:numPr>
          <w:ilvl w:val="3"/>
          <w:numId w:val="7"/>
        </w:numPr>
        <w:spacing w:before="120" w:after="120" w:line="276" w:lineRule="auto"/>
        <w:ind w:hanging="1381"/>
        <w:jc w:val="left"/>
        <w:rPr>
          <w:rFonts w:ascii="Calibri" w:hAnsi="Calibri"/>
          <w:b/>
          <w:szCs w:val="24"/>
        </w:rPr>
      </w:pPr>
      <w:r w:rsidRPr="004B77D6">
        <w:rPr>
          <w:rFonts w:ascii="Calibri" w:hAnsi="Calibri"/>
          <w:b/>
          <w:bCs/>
          <w:szCs w:val="24"/>
        </w:rPr>
        <w:t>Analiza instytucjonalna</w:t>
      </w:r>
      <w:r w:rsidRPr="004B77D6">
        <w:rPr>
          <w:rFonts w:ascii="Calibri" w:hAnsi="Calibri"/>
          <w:szCs w:val="24"/>
        </w:rPr>
        <w:t xml:space="preserve"> - zawiera informacje na temat:</w:t>
      </w:r>
    </w:p>
    <w:p w14:paraId="2986F8A8" w14:textId="77777777" w:rsidR="00C2071D" w:rsidRPr="004B77D6" w:rsidRDefault="00C2071D" w:rsidP="0089006E">
      <w:pPr>
        <w:pStyle w:val="Tekstpodstawowy22"/>
        <w:numPr>
          <w:ilvl w:val="0"/>
          <w:numId w:val="24"/>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bezpośrednich i pośrednich</w:t>
      </w:r>
      <w:r w:rsidRPr="004B77D6">
        <w:rPr>
          <w:rFonts w:ascii="Calibri" w:hAnsi="Calibri"/>
          <w:b/>
          <w:szCs w:val="24"/>
        </w:rPr>
        <w:t xml:space="preserve"> </w:t>
      </w:r>
      <w:r w:rsidRPr="004B77D6">
        <w:rPr>
          <w:rFonts w:ascii="Calibri" w:hAnsi="Calibri"/>
          <w:szCs w:val="24"/>
        </w:rPr>
        <w:t>beneficjentów projektu oraz problemów ich dotykających,</w:t>
      </w:r>
    </w:p>
    <w:p w14:paraId="39FE1967" w14:textId="77777777" w:rsidR="00C2071D" w:rsidRPr="004B77D6" w:rsidRDefault="00C2071D" w:rsidP="0089006E">
      <w:pPr>
        <w:pStyle w:val="Tekstpodstawowy22"/>
        <w:numPr>
          <w:ilvl w:val="0"/>
          <w:numId w:val="24"/>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 xml:space="preserve">instytucji/osób zaangażowanych w realizację projektu, włącznie z podziałem odpowiedzialności, </w:t>
      </w:r>
    </w:p>
    <w:p w14:paraId="64214C1F" w14:textId="77777777" w:rsidR="00C2071D" w:rsidRPr="004B77D6" w:rsidRDefault="00C2071D" w:rsidP="0089006E">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powiązań z innymi podmiotami, które znajdą się w polu oddziaływania projektu,</w:t>
      </w:r>
    </w:p>
    <w:p w14:paraId="6C723AF1" w14:textId="77777777" w:rsidR="00C2071D" w:rsidRPr="004B77D6" w:rsidRDefault="00C2071D" w:rsidP="0089006E">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właściciela inwestycji po jej zakończeniu,</w:t>
      </w:r>
    </w:p>
    <w:p w14:paraId="754C2F27" w14:textId="77777777" w:rsidR="00C2071D" w:rsidRPr="004B77D6" w:rsidRDefault="00C2071D" w:rsidP="0089006E">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rozwiązań związanych z udostępnieniem przedmiotowej infrastruktury podmiotom trzecim.</w:t>
      </w:r>
    </w:p>
    <w:p w14:paraId="06B9D1E6" w14:textId="351AB828" w:rsidR="00C2071D" w:rsidRPr="004B77D6" w:rsidRDefault="00C2071D" w:rsidP="00C2071D">
      <w:pPr>
        <w:pStyle w:val="Tekstpodstawowy22"/>
        <w:spacing w:before="120" w:after="120" w:line="276" w:lineRule="auto"/>
        <w:ind w:left="360" w:firstLine="539"/>
        <w:jc w:val="left"/>
        <w:rPr>
          <w:rFonts w:ascii="Calibri" w:hAnsi="Calibri"/>
          <w:szCs w:val="24"/>
        </w:rPr>
      </w:pPr>
      <w:r w:rsidRPr="004B77D6">
        <w:rPr>
          <w:rFonts w:ascii="Calibri" w:hAnsi="Calibri"/>
          <w:szCs w:val="24"/>
        </w:rPr>
        <w:t xml:space="preserve">W punkcie tym należy udowodnić, że beneficjent </w:t>
      </w:r>
      <w:r w:rsidRPr="004B77D6">
        <w:rPr>
          <w:rFonts w:ascii="Calibri" w:hAnsi="Calibri"/>
          <w:iCs/>
          <w:szCs w:val="24"/>
        </w:rPr>
        <w:t xml:space="preserve">posiada zdolność organizacyjną </w:t>
      </w:r>
      <w:r w:rsidRPr="004B77D6">
        <w:rPr>
          <w:rFonts w:ascii="Calibri" w:hAnsi="Calibri"/>
          <w:iCs/>
          <w:szCs w:val="24"/>
        </w:rPr>
        <w:br/>
        <w:t xml:space="preserve">i finansową do wdrożenia projektu (opisując dokładnie proces wdrażania wraz </w:t>
      </w:r>
      <w:r w:rsidRPr="004B77D6">
        <w:rPr>
          <w:rFonts w:ascii="Calibri" w:hAnsi="Calibri"/>
          <w:iCs/>
          <w:szCs w:val="24"/>
        </w:rPr>
        <w:br/>
        <w:t xml:space="preserve">z towarzyszącymi mu procedurami, </w:t>
      </w:r>
      <w:r w:rsidRPr="004B77D6">
        <w:rPr>
          <w:rFonts w:ascii="Calibri" w:hAnsi="Calibri"/>
          <w:szCs w:val="24"/>
        </w:rPr>
        <w:t xml:space="preserve">harmonogramem pozyskiwania odpowiednich zezwoleń, prac przygotowawczych, przetargów oraz realizacji projektu); jak również wskazać instytucję odpowiedzialną za zarządzanie projektem w okresie, co najmniej </w:t>
      </w:r>
      <w:r w:rsidRPr="004B77D6">
        <w:rPr>
          <w:rFonts w:ascii="Calibri" w:hAnsi="Calibri"/>
          <w:szCs w:val="24"/>
        </w:rPr>
        <w:br/>
        <w:t xml:space="preserve">5 lat od chwili zakończenia jego realizacji (określając sposób finansowania kosztów </w:t>
      </w:r>
      <w:r w:rsidRPr="004B77D6">
        <w:rPr>
          <w:rFonts w:ascii="Calibri" w:hAnsi="Calibri"/>
          <w:szCs w:val="24"/>
        </w:rPr>
        <w:lastRenderedPageBreak/>
        <w:t xml:space="preserve">związanych z utrzymaniem i eksploatacją inwestycji), zgodnie z art. </w:t>
      </w:r>
      <w:r w:rsidR="00402E6E" w:rsidRPr="004B77D6">
        <w:rPr>
          <w:rFonts w:ascii="Calibri" w:hAnsi="Calibri"/>
          <w:szCs w:val="24"/>
        </w:rPr>
        <w:t xml:space="preserve">65 </w:t>
      </w:r>
      <w:r w:rsidRPr="004B77D6">
        <w:rPr>
          <w:rFonts w:ascii="Calibri" w:hAnsi="Calibri"/>
          <w:szCs w:val="24"/>
        </w:rPr>
        <w:t xml:space="preserve">Rozporządzenia Parlamentu Europejskiego i Rady (UE) nr </w:t>
      </w:r>
      <w:r w:rsidR="00402E6E" w:rsidRPr="004B77D6">
        <w:rPr>
          <w:rFonts w:ascii="Calibri" w:hAnsi="Calibri"/>
          <w:szCs w:val="24"/>
        </w:rPr>
        <w:t>2021</w:t>
      </w:r>
      <w:r w:rsidRPr="004B77D6">
        <w:rPr>
          <w:rFonts w:ascii="Calibri" w:hAnsi="Calibri"/>
          <w:szCs w:val="24"/>
        </w:rPr>
        <w:t>/</w:t>
      </w:r>
      <w:r w:rsidR="00402E6E" w:rsidRPr="004B77D6">
        <w:rPr>
          <w:rFonts w:ascii="Calibri" w:hAnsi="Calibri"/>
          <w:szCs w:val="24"/>
        </w:rPr>
        <w:t xml:space="preserve">1060 </w:t>
      </w:r>
      <w:r w:rsidRPr="004B77D6">
        <w:rPr>
          <w:rFonts w:ascii="Calibri" w:hAnsi="Calibri"/>
          <w:szCs w:val="24"/>
        </w:rPr>
        <w:t xml:space="preserve">z dn. </w:t>
      </w:r>
      <w:r w:rsidR="00402E6E" w:rsidRPr="004B77D6">
        <w:rPr>
          <w:rFonts w:ascii="Calibri" w:hAnsi="Calibri"/>
          <w:szCs w:val="24"/>
        </w:rPr>
        <w:t xml:space="preserve">24 czerwca 2021 </w:t>
      </w:r>
      <w:r w:rsidRPr="004B77D6">
        <w:rPr>
          <w:rFonts w:ascii="Calibri" w:hAnsi="Calibri"/>
          <w:szCs w:val="24"/>
        </w:rPr>
        <w:t xml:space="preserve">r. </w:t>
      </w:r>
    </w:p>
    <w:p w14:paraId="21B6193B" w14:textId="77777777" w:rsidR="00C2071D" w:rsidRPr="004B77D6" w:rsidRDefault="00C2071D" w:rsidP="00C2071D">
      <w:pPr>
        <w:pStyle w:val="Tekstpodstawowy22"/>
        <w:numPr>
          <w:ilvl w:val="3"/>
          <w:numId w:val="7"/>
        </w:numPr>
        <w:spacing w:before="120" w:after="120" w:line="276" w:lineRule="auto"/>
        <w:ind w:left="360" w:firstLine="360"/>
        <w:jc w:val="left"/>
        <w:rPr>
          <w:rFonts w:ascii="Calibri" w:hAnsi="Calibri"/>
          <w:szCs w:val="24"/>
        </w:rPr>
      </w:pPr>
      <w:r w:rsidRPr="004B77D6">
        <w:rPr>
          <w:rFonts w:ascii="Calibri" w:hAnsi="Calibri"/>
          <w:b/>
          <w:bCs/>
          <w:szCs w:val="24"/>
        </w:rPr>
        <w:t>Analiza prawnej wykonalności projektu</w:t>
      </w:r>
      <w:r w:rsidRPr="004B77D6">
        <w:rPr>
          <w:rFonts w:ascii="Calibri" w:hAnsi="Calibri"/>
          <w:szCs w:val="24"/>
        </w:rPr>
        <w:t xml:space="preserve"> - opisuje</w:t>
      </w:r>
      <w:r w:rsidRPr="004B77D6">
        <w:rPr>
          <w:rFonts w:ascii="Calibri" w:eastAsia="TimesNewRoman" w:hAnsi="Calibri"/>
          <w:szCs w:val="24"/>
        </w:rPr>
        <w:t xml:space="preserve"> </w:t>
      </w:r>
      <w:r w:rsidRPr="004B77D6">
        <w:rPr>
          <w:rFonts w:ascii="Calibri" w:hAnsi="Calibri"/>
          <w:szCs w:val="24"/>
        </w:rPr>
        <w:t>kwestie prawne zwi</w:t>
      </w:r>
      <w:r w:rsidRPr="004B77D6">
        <w:rPr>
          <w:rFonts w:ascii="Calibri" w:eastAsia="TimesNewRoman" w:hAnsi="Calibri"/>
          <w:szCs w:val="24"/>
        </w:rPr>
        <w:t>ą</w:t>
      </w:r>
      <w:r w:rsidRPr="004B77D6">
        <w:rPr>
          <w:rFonts w:ascii="Calibri" w:hAnsi="Calibri"/>
          <w:szCs w:val="24"/>
        </w:rPr>
        <w:t>zane z realizacj</w:t>
      </w:r>
      <w:r w:rsidRPr="004B77D6">
        <w:rPr>
          <w:rFonts w:ascii="Calibri" w:eastAsia="TimesNewRoman" w:hAnsi="Calibri"/>
          <w:szCs w:val="24"/>
        </w:rPr>
        <w:t xml:space="preserve">ą </w:t>
      </w:r>
      <w:r w:rsidRPr="004B77D6">
        <w:rPr>
          <w:rFonts w:ascii="Calibri" w:hAnsi="Calibri"/>
          <w:szCs w:val="24"/>
        </w:rPr>
        <w:t>projektu, w tym stan formalno-prawny nieruchomo</w:t>
      </w:r>
      <w:r w:rsidRPr="004B77D6">
        <w:rPr>
          <w:rFonts w:ascii="Calibri" w:eastAsia="TimesNewRoman" w:hAnsi="Calibri"/>
          <w:szCs w:val="24"/>
        </w:rPr>
        <w:t>ś</w:t>
      </w:r>
      <w:r w:rsidRPr="004B77D6">
        <w:rPr>
          <w:rFonts w:ascii="Calibri" w:hAnsi="Calibri"/>
          <w:szCs w:val="24"/>
        </w:rPr>
        <w:t>ci, gruntów. W punkcie tym należy wymienić wszystkie dokumenty warunkuj</w:t>
      </w:r>
      <w:r w:rsidRPr="004B77D6">
        <w:rPr>
          <w:rFonts w:ascii="Calibri" w:eastAsia="TimesNewRoman" w:hAnsi="Calibri"/>
          <w:szCs w:val="24"/>
        </w:rPr>
        <w:t>ą</w:t>
      </w:r>
      <w:r w:rsidRPr="004B77D6">
        <w:rPr>
          <w:rFonts w:ascii="Calibri" w:hAnsi="Calibri"/>
          <w:szCs w:val="24"/>
        </w:rPr>
        <w:t xml:space="preserve">ce wykonanie inwestycji </w:t>
      </w:r>
      <w:r w:rsidRPr="004B77D6">
        <w:rPr>
          <w:rFonts w:ascii="Calibri" w:hAnsi="Calibri"/>
          <w:szCs w:val="24"/>
        </w:rPr>
        <w:br/>
        <w:t>np. pozwolenie na budow</w:t>
      </w:r>
      <w:r w:rsidRPr="004B77D6">
        <w:rPr>
          <w:rFonts w:ascii="Calibri" w:eastAsia="TimesNewRoman" w:hAnsi="Calibri"/>
          <w:szCs w:val="24"/>
        </w:rPr>
        <w:t xml:space="preserve">ę, </w:t>
      </w:r>
      <w:r w:rsidRPr="004B77D6">
        <w:rPr>
          <w:rFonts w:ascii="Calibri" w:hAnsi="Calibri"/>
          <w:szCs w:val="24"/>
        </w:rPr>
        <w:t xml:space="preserve">pozwolenie Wojewódzkiego Konserwatora Zabytków, </w:t>
      </w:r>
      <w:r w:rsidRPr="004B77D6">
        <w:rPr>
          <w:rFonts w:ascii="Calibri" w:hAnsi="Calibri" w:cs="Arial"/>
          <w:szCs w:val="24"/>
        </w:rPr>
        <w:t>decyzję o środowiskowych uwarunkowaniach zgody na realizację przedsięwzięcia, umowę na świadczenie usług publicznych, dokument potwierdzający kwalifikowalność podatku VAT oraz wszelkie inne dokumenty warunkujące prawidłową realizację projektu</w:t>
      </w:r>
      <w:r w:rsidRPr="004B77D6">
        <w:rPr>
          <w:rFonts w:ascii="Calibri" w:hAnsi="Calibri"/>
          <w:szCs w:val="24"/>
        </w:rPr>
        <w:t xml:space="preserve">. Jeżeli realizacja projektu wymaga uzyskania dodatkowych pozwoleń/decyzji/innych dokumentów, należy podać informację o terminie uzyskania (lub przypuszczalnym terminie uzyskania danego dokumentu). </w:t>
      </w:r>
    </w:p>
    <w:p w14:paraId="61F2BA82" w14:textId="77777777" w:rsidR="00C2071D" w:rsidRPr="004B77D6" w:rsidRDefault="00C2071D" w:rsidP="00C2071D">
      <w:pPr>
        <w:pStyle w:val="Tekstpodstawowy22"/>
        <w:numPr>
          <w:ilvl w:val="3"/>
          <w:numId w:val="7"/>
        </w:numPr>
        <w:spacing w:before="120" w:after="120" w:line="276" w:lineRule="auto"/>
        <w:ind w:left="360" w:firstLine="360"/>
        <w:jc w:val="left"/>
        <w:rPr>
          <w:rFonts w:ascii="Calibri" w:hAnsi="Calibri"/>
          <w:szCs w:val="24"/>
        </w:rPr>
      </w:pPr>
      <w:r w:rsidRPr="004B77D6">
        <w:rPr>
          <w:rFonts w:ascii="Calibri" w:hAnsi="Calibri"/>
          <w:b/>
          <w:szCs w:val="24"/>
        </w:rPr>
        <w:t>Z</w:t>
      </w:r>
      <w:r w:rsidRPr="004B77D6">
        <w:rPr>
          <w:rFonts w:ascii="Calibri" w:hAnsi="Calibri"/>
          <w:b/>
          <w:bCs/>
          <w:iCs/>
          <w:szCs w:val="24"/>
        </w:rPr>
        <w:t>godność z polityką konkurencji (pomoc publiczna)</w:t>
      </w:r>
      <w:r w:rsidRPr="004B77D6">
        <w:rPr>
          <w:rFonts w:ascii="Calibri" w:hAnsi="Calibri"/>
          <w:szCs w:val="24"/>
        </w:rPr>
        <w:t xml:space="preserve"> – udzielanie pomocy </w:t>
      </w:r>
      <w:r w:rsidRPr="004B77D6">
        <w:rPr>
          <w:rFonts w:ascii="Calibri" w:hAnsi="Calibri"/>
          <w:szCs w:val="24"/>
        </w:rPr>
        <w:br/>
        <w:t xml:space="preserve">w ramach programu wymaga stosowania zasad pomocy publicznej. Oznacza to, </w:t>
      </w:r>
      <w:r w:rsidRPr="004B77D6">
        <w:rPr>
          <w:rFonts w:ascii="Calibri" w:hAnsi="Calibri"/>
          <w:szCs w:val="24"/>
        </w:rPr>
        <w:br/>
        <w:t xml:space="preserve">że w przypadku składania wniosków przez beneficjentów prowadzących działalność gospodarczą, przez którą należy rozumieć - zgodnie z orzecznictwem Europejskiego Trybunału Sprawiedliwości - </w:t>
      </w:r>
      <w:r w:rsidRPr="004B77D6">
        <w:rPr>
          <w:rFonts w:ascii="Calibri" w:hAnsi="Calibri"/>
          <w:i/>
          <w:szCs w:val="24"/>
        </w:rPr>
        <w:t xml:space="preserve">oferowanie towarów i usług na rynku także przez podmioty publiczne, </w:t>
      </w:r>
      <w:r w:rsidRPr="004B77D6">
        <w:rPr>
          <w:rFonts w:ascii="Calibri" w:hAnsi="Calibri"/>
          <w:iCs/>
          <w:szCs w:val="24"/>
        </w:rPr>
        <w:t>udzielanie wsparcia musi następować z uwzględnieniem warunków dopuszczalności pomocy publicznej.</w:t>
      </w:r>
      <w:r w:rsidRPr="004B77D6">
        <w:rPr>
          <w:rFonts w:ascii="Calibri" w:hAnsi="Calibri"/>
          <w:i/>
          <w:szCs w:val="24"/>
        </w:rPr>
        <w:t xml:space="preserve"> </w:t>
      </w:r>
      <w:r w:rsidRPr="004B77D6">
        <w:rPr>
          <w:rFonts w:ascii="Calibri" w:hAnsi="Calibri"/>
          <w:szCs w:val="24"/>
        </w:rPr>
        <w:t xml:space="preserve">Decydujące znaczenie dla określenia czy dana działalność jest działalnością gospodarczą, jest stwierdzenie czy mogłaby być, </w:t>
      </w:r>
      <w:r w:rsidRPr="004B77D6">
        <w:rPr>
          <w:rFonts w:ascii="Calibri" w:hAnsi="Calibri"/>
          <w:szCs w:val="24"/>
        </w:rPr>
        <w:br/>
        <w:t xml:space="preserve">co do zasady prowadzona przez podmiot prywatny w celu osiągnięcia zysku. </w:t>
      </w:r>
    </w:p>
    <w:p w14:paraId="37E9F168" w14:textId="77777777" w:rsidR="00C2071D" w:rsidRPr="004B77D6" w:rsidRDefault="00C2071D" w:rsidP="00C2071D">
      <w:pPr>
        <w:spacing w:before="120" w:after="120" w:line="276" w:lineRule="auto"/>
        <w:ind w:left="720"/>
        <w:rPr>
          <w:rFonts w:ascii="Calibri" w:hAnsi="Calibri"/>
          <w:szCs w:val="24"/>
        </w:rPr>
      </w:pPr>
      <w:r w:rsidRPr="004B77D6">
        <w:rPr>
          <w:rFonts w:ascii="Calibri" w:hAnsi="Calibri"/>
          <w:szCs w:val="24"/>
        </w:rPr>
        <w:t xml:space="preserve">W punkcie tym należy zamieścić następujące informacje: </w:t>
      </w:r>
    </w:p>
    <w:p w14:paraId="24DEF701" w14:textId="77777777" w:rsidR="00C2071D" w:rsidRPr="004B77D6" w:rsidRDefault="00C2071D" w:rsidP="0089006E">
      <w:pPr>
        <w:pStyle w:val="Tekstpodstawowy"/>
        <w:numPr>
          <w:ilvl w:val="0"/>
          <w:numId w:val="25"/>
        </w:numPr>
        <w:spacing w:before="120" w:line="276" w:lineRule="auto"/>
        <w:rPr>
          <w:rFonts w:ascii="Calibri" w:hAnsi="Calibri"/>
        </w:rPr>
      </w:pPr>
      <w:r w:rsidRPr="004B77D6">
        <w:rPr>
          <w:rFonts w:ascii="Calibri" w:hAnsi="Calibri"/>
        </w:rPr>
        <w:t>czy beneficjent prowadzi/będzie prowadził działalność gospodarczą i jaki jest/będzie jej zakres?,</w:t>
      </w:r>
    </w:p>
    <w:p w14:paraId="18B69B23" w14:textId="77777777" w:rsidR="00C2071D" w:rsidRPr="004B77D6" w:rsidRDefault="00C2071D" w:rsidP="0089006E">
      <w:pPr>
        <w:pStyle w:val="Tekstpodstawowy"/>
        <w:numPr>
          <w:ilvl w:val="0"/>
          <w:numId w:val="25"/>
        </w:numPr>
        <w:spacing w:before="120" w:line="276" w:lineRule="auto"/>
        <w:rPr>
          <w:rFonts w:ascii="Calibri" w:hAnsi="Calibri"/>
        </w:rPr>
      </w:pPr>
      <w:r w:rsidRPr="004B77D6">
        <w:rPr>
          <w:rFonts w:ascii="Calibri" w:hAnsi="Calibri"/>
        </w:rPr>
        <w:t>na jaki cel beneficjent przeznacza/będzie przekazywał środki uzyskane z prowadzonej działalności gospodarczej?,</w:t>
      </w:r>
    </w:p>
    <w:p w14:paraId="306A42EA" w14:textId="77777777" w:rsidR="00C2071D" w:rsidRPr="004B77D6" w:rsidRDefault="00C2071D" w:rsidP="00C2071D">
      <w:pPr>
        <w:pStyle w:val="Tekstpodstawowy"/>
        <w:spacing w:before="120" w:line="276" w:lineRule="auto"/>
        <w:ind w:left="720"/>
        <w:rPr>
          <w:rFonts w:ascii="Calibri" w:hAnsi="Calibri"/>
          <w:u w:val="single"/>
        </w:rPr>
      </w:pPr>
      <w:r w:rsidRPr="004B77D6">
        <w:rPr>
          <w:rFonts w:ascii="Calibri" w:hAnsi="Calibri"/>
          <w:u w:val="single"/>
        </w:rPr>
        <w:t>oraz przeprowadzić test pomocy publicznej odnosząc się do poniższych warunków:</w:t>
      </w:r>
    </w:p>
    <w:p w14:paraId="7795E37F" w14:textId="77777777" w:rsidR="00C2071D" w:rsidRPr="004B77D6" w:rsidRDefault="00C2071D" w:rsidP="0089006E">
      <w:pPr>
        <w:numPr>
          <w:ilvl w:val="1"/>
          <w:numId w:val="25"/>
        </w:numPr>
        <w:tabs>
          <w:tab w:val="left" w:pos="900"/>
        </w:tabs>
        <w:spacing w:after="120" w:line="276" w:lineRule="auto"/>
        <w:ind w:left="714" w:hanging="357"/>
        <w:rPr>
          <w:rFonts w:ascii="Calibri" w:hAnsi="Calibri"/>
          <w:szCs w:val="24"/>
        </w:rPr>
      </w:pPr>
      <w:r w:rsidRPr="004B77D6">
        <w:rPr>
          <w:rFonts w:ascii="Calibri" w:hAnsi="Calibri"/>
          <w:i/>
          <w:szCs w:val="24"/>
        </w:rPr>
        <w:t xml:space="preserve">transfer środków publicznych – </w:t>
      </w:r>
      <w:r w:rsidRPr="004B77D6">
        <w:rPr>
          <w:rFonts w:ascii="Calibri" w:hAnsi="Calibri"/>
          <w:szCs w:val="24"/>
        </w:rPr>
        <w:t>wsparcie</w:t>
      </w:r>
      <w:r w:rsidRPr="004B77D6">
        <w:rPr>
          <w:rFonts w:ascii="Calibri" w:hAnsi="Calibri"/>
          <w:i/>
          <w:szCs w:val="24"/>
        </w:rPr>
        <w:t xml:space="preserve"> </w:t>
      </w:r>
      <w:r w:rsidRPr="004B77D6">
        <w:rPr>
          <w:rFonts w:ascii="Calibri" w:hAnsi="Calibri"/>
          <w:szCs w:val="24"/>
        </w:rPr>
        <w:t>przekazywane jest przez państwo lub przy wykorzystaniu zasobów państwowych,</w:t>
      </w:r>
    </w:p>
    <w:p w14:paraId="4C456CD5" w14:textId="77777777" w:rsidR="00C2071D" w:rsidRPr="004B77D6" w:rsidRDefault="00C2071D" w:rsidP="0089006E">
      <w:pPr>
        <w:numPr>
          <w:ilvl w:val="1"/>
          <w:numId w:val="25"/>
        </w:numPr>
        <w:spacing w:after="120" w:line="276" w:lineRule="auto"/>
        <w:ind w:left="714" w:hanging="357"/>
        <w:rPr>
          <w:rFonts w:ascii="Calibri" w:hAnsi="Calibri"/>
          <w:szCs w:val="24"/>
        </w:rPr>
      </w:pPr>
      <w:r w:rsidRPr="004B77D6">
        <w:rPr>
          <w:rFonts w:ascii="Calibri" w:hAnsi="Calibri"/>
          <w:i/>
          <w:szCs w:val="24"/>
        </w:rPr>
        <w:t xml:space="preserve">korzyść ekonomiczna – występuje wtedy, gdy przekazywane jest wsparcie </w:t>
      </w:r>
      <w:r w:rsidRPr="004B77D6">
        <w:rPr>
          <w:rFonts w:ascii="Calibri" w:hAnsi="Calibri"/>
          <w:i/>
          <w:szCs w:val="24"/>
        </w:rPr>
        <w:br/>
        <w:t>o charakterze bezzwrotnym, udzielane są pożyczki/kredyty z oprocentowaniem poniżej stopy rynkowej (stopy referencyjnej KE), dokonuje się odroczenia/rozłożenia na raty płatności po stopie niższej od stopy rynkowej,</w:t>
      </w:r>
    </w:p>
    <w:p w14:paraId="1E6CFE39" w14:textId="77777777" w:rsidR="00C2071D" w:rsidRPr="004B77D6" w:rsidRDefault="00C2071D" w:rsidP="0089006E">
      <w:pPr>
        <w:numPr>
          <w:ilvl w:val="1"/>
          <w:numId w:val="25"/>
        </w:numPr>
        <w:spacing w:after="120" w:line="276" w:lineRule="auto"/>
        <w:ind w:left="714" w:hanging="357"/>
        <w:rPr>
          <w:rFonts w:ascii="Calibri" w:hAnsi="Calibri"/>
          <w:i/>
          <w:szCs w:val="24"/>
        </w:rPr>
      </w:pPr>
      <w:r w:rsidRPr="004B77D6">
        <w:rPr>
          <w:rFonts w:ascii="Calibri" w:hAnsi="Calibri"/>
          <w:i/>
          <w:szCs w:val="24"/>
        </w:rPr>
        <w:t>selektywność – wsparcie uprzywilejowuje konkretne przedsiębiorstwa lub grupy przedsiębiorstw, bądź produkcję określonych towarów,</w:t>
      </w:r>
    </w:p>
    <w:p w14:paraId="56619830" w14:textId="77777777" w:rsidR="00C2071D" w:rsidRPr="004B77D6" w:rsidRDefault="00C2071D" w:rsidP="0089006E">
      <w:pPr>
        <w:numPr>
          <w:ilvl w:val="1"/>
          <w:numId w:val="25"/>
        </w:numPr>
        <w:spacing w:after="120" w:line="276" w:lineRule="auto"/>
        <w:ind w:left="714" w:hanging="357"/>
        <w:rPr>
          <w:rFonts w:ascii="Calibri" w:hAnsi="Calibri"/>
          <w:i/>
          <w:szCs w:val="24"/>
        </w:rPr>
      </w:pPr>
      <w:r w:rsidRPr="004B77D6">
        <w:rPr>
          <w:rFonts w:ascii="Calibri" w:hAnsi="Calibri"/>
          <w:i/>
          <w:szCs w:val="24"/>
        </w:rPr>
        <w:lastRenderedPageBreak/>
        <w:t>wpływ na konkurencję – wsparcie zakłóca lub grozi zakłóceniem konkurencji,</w:t>
      </w:r>
    </w:p>
    <w:p w14:paraId="79184E37" w14:textId="77777777" w:rsidR="00C2071D" w:rsidRPr="004B77D6" w:rsidRDefault="00C2071D" w:rsidP="0089006E">
      <w:pPr>
        <w:numPr>
          <w:ilvl w:val="1"/>
          <w:numId w:val="25"/>
        </w:numPr>
        <w:spacing w:after="120" w:line="276" w:lineRule="auto"/>
        <w:ind w:left="714" w:hanging="357"/>
        <w:rPr>
          <w:rFonts w:ascii="Calibri" w:hAnsi="Calibri"/>
          <w:szCs w:val="24"/>
        </w:rPr>
      </w:pPr>
      <w:r w:rsidRPr="004B77D6">
        <w:rPr>
          <w:rFonts w:ascii="Calibri" w:hAnsi="Calibri"/>
          <w:i/>
          <w:szCs w:val="24"/>
        </w:rPr>
        <w:t xml:space="preserve">wpływ na wymianę handlową – </w:t>
      </w:r>
      <w:r w:rsidRPr="004B77D6">
        <w:rPr>
          <w:rFonts w:ascii="Calibri" w:hAnsi="Calibri"/>
          <w:szCs w:val="24"/>
        </w:rPr>
        <w:t xml:space="preserve">zgodnie z Traktatem WE każda pomoc, która wpływa na wymianę handlową między państwami członkowskimi jest uznawana za niezgodną </w:t>
      </w:r>
      <w:r w:rsidRPr="004B77D6">
        <w:rPr>
          <w:rFonts w:ascii="Calibri" w:hAnsi="Calibri"/>
          <w:szCs w:val="24"/>
        </w:rPr>
        <w:br/>
        <w:t xml:space="preserve">ze wspólnym rynkiem. </w:t>
      </w:r>
    </w:p>
    <w:p w14:paraId="347D7996" w14:textId="77777777" w:rsidR="00C2071D" w:rsidRPr="004B77D6" w:rsidRDefault="00C2071D" w:rsidP="00C2071D">
      <w:pPr>
        <w:spacing w:before="120" w:after="120" w:line="276" w:lineRule="auto"/>
        <w:rPr>
          <w:rFonts w:ascii="Calibri" w:hAnsi="Calibri"/>
          <w:szCs w:val="24"/>
        </w:rPr>
      </w:pPr>
      <w:r w:rsidRPr="004B77D6">
        <w:rPr>
          <w:rFonts w:ascii="Calibri" w:hAnsi="Calibri"/>
          <w:szCs w:val="24"/>
        </w:rPr>
        <w:t xml:space="preserve">Przepisom o pomocy publicznej podlegają wszystkie kategorie podmiotów, które prowadzą działalność gospodarczą, niezależnie od formy prawnej i źródeł finansowania oraz tego </w:t>
      </w:r>
      <w:r w:rsidRPr="004B77D6">
        <w:rPr>
          <w:rFonts w:ascii="Calibri" w:hAnsi="Calibri"/>
          <w:szCs w:val="24"/>
        </w:rPr>
        <w:br/>
        <w:t xml:space="preserve">czy są nastawione na zysk. </w:t>
      </w:r>
    </w:p>
    <w:p w14:paraId="4CAE2EA8" w14:textId="77777777" w:rsidR="00C2071D" w:rsidRPr="004B77D6" w:rsidRDefault="00C2071D" w:rsidP="00C2071D">
      <w:pPr>
        <w:spacing w:before="120" w:after="120" w:line="276" w:lineRule="auto"/>
        <w:ind w:firstLine="708"/>
        <w:rPr>
          <w:rFonts w:ascii="Calibri" w:hAnsi="Calibri"/>
          <w:szCs w:val="24"/>
        </w:rPr>
      </w:pPr>
      <w:r w:rsidRPr="004B77D6">
        <w:rPr>
          <w:rFonts w:ascii="Calibri" w:hAnsi="Calibri"/>
          <w:szCs w:val="24"/>
        </w:rPr>
        <w:t xml:space="preserve">Finansowanie usług o charakterze ogólnogospodarczym obejmujących taką działalność, jak np.: świadczenie określonych usług transportowych stanowi jeden </w:t>
      </w:r>
      <w:r w:rsidRPr="004B77D6">
        <w:rPr>
          <w:rFonts w:ascii="Calibri" w:hAnsi="Calibri"/>
          <w:szCs w:val="24"/>
        </w:rPr>
        <w:br/>
        <w:t xml:space="preserve">z kluczowych problemów rozpatrywanych w świetle wspólnotowych zasad udzielania pomocy publicznej. Ważne jest, żeby rekompensata pokrywała dokładnie koszty świadczenia usługi, a nie stanowiła dodatkowego źródła zysku przedsiębiorstwa, gdyż wtedy byłaby traktowana jako </w:t>
      </w:r>
      <w:hyperlink r:id="rId9" w:history="1">
        <w:r w:rsidRPr="004B77D6">
          <w:rPr>
            <w:rStyle w:val="Hipercze"/>
            <w:rFonts w:ascii="Calibri" w:hAnsi="Calibri"/>
            <w:color w:val="auto"/>
            <w:szCs w:val="24"/>
            <w:u w:val="none"/>
          </w:rPr>
          <w:t>pomoc</w:t>
        </w:r>
      </w:hyperlink>
      <w:r w:rsidRPr="004B77D6">
        <w:rPr>
          <w:rFonts w:ascii="Calibri" w:hAnsi="Calibri"/>
          <w:szCs w:val="24"/>
        </w:rPr>
        <w:t xml:space="preserve"> publiczna i podlegała wszelkim rygorom zasad jej udzielania, łącznie ze zwrotem wraz z odsetkami.</w:t>
      </w:r>
    </w:p>
    <w:p w14:paraId="5140C197" w14:textId="77777777" w:rsidR="00C2071D" w:rsidRPr="004B77D6" w:rsidRDefault="00C2071D" w:rsidP="00C2071D">
      <w:pPr>
        <w:spacing w:before="120" w:after="120" w:line="276" w:lineRule="auto"/>
        <w:rPr>
          <w:rFonts w:ascii="Calibri" w:hAnsi="Calibri"/>
          <w:szCs w:val="24"/>
        </w:rPr>
      </w:pPr>
      <w:r w:rsidRPr="004B77D6">
        <w:rPr>
          <w:rFonts w:ascii="Calibri" w:hAnsi="Calibri"/>
          <w:b/>
          <w:szCs w:val="24"/>
        </w:rPr>
        <w:t xml:space="preserve">W odniesieniu do pomocy związanej ze świadczeniem usług publicznych, szczególnie doniosłe znaczenie ma orzeczenie Europejskiego Trybunału Sprawiedliwości (ETS) </w:t>
      </w:r>
      <w:r w:rsidRPr="004B77D6">
        <w:rPr>
          <w:rFonts w:ascii="Calibri" w:hAnsi="Calibri"/>
          <w:b/>
          <w:szCs w:val="24"/>
        </w:rPr>
        <w:br/>
        <w:t xml:space="preserve">w sprawie </w:t>
      </w:r>
      <w:proofErr w:type="spellStart"/>
      <w:r w:rsidRPr="004B77D6">
        <w:rPr>
          <w:rFonts w:ascii="Calibri" w:hAnsi="Calibri"/>
          <w:b/>
          <w:i/>
          <w:szCs w:val="24"/>
        </w:rPr>
        <w:t>Altmark</w:t>
      </w:r>
      <w:proofErr w:type="spellEnd"/>
      <w:r w:rsidRPr="004B77D6">
        <w:rPr>
          <w:rFonts w:ascii="Calibri" w:hAnsi="Calibri"/>
          <w:b/>
          <w:i/>
          <w:szCs w:val="24"/>
        </w:rPr>
        <w:t xml:space="preserve"> </w:t>
      </w:r>
      <w:r w:rsidRPr="004B77D6">
        <w:rPr>
          <w:rFonts w:ascii="Calibri" w:hAnsi="Calibri"/>
          <w:b/>
          <w:szCs w:val="24"/>
        </w:rPr>
        <w:t xml:space="preserve">(sprawa C-280/00). </w:t>
      </w:r>
      <w:r w:rsidRPr="004B77D6">
        <w:rPr>
          <w:rFonts w:ascii="Calibri" w:hAnsi="Calibri"/>
          <w:szCs w:val="24"/>
        </w:rPr>
        <w:t>ETS wskazał cztery przesłanki, których spełnienie oznacza, że rekompensata finansowa ze strony państwa za poniesione przez przedsiębiorcę koszty w związku ze świadczeniem usług o charakterze ogólnogospodarczym nie stanowi pomocy publicznej. Są to mianowicie następujące warunki:</w:t>
      </w:r>
    </w:p>
    <w:p w14:paraId="3C4FA089" w14:textId="77777777" w:rsidR="00C2071D" w:rsidRPr="004B77D6" w:rsidRDefault="00C2071D" w:rsidP="0089006E">
      <w:pPr>
        <w:pStyle w:val="Tekstpodstawowy"/>
        <w:numPr>
          <w:ilvl w:val="0"/>
          <w:numId w:val="26"/>
        </w:numPr>
        <w:spacing w:before="120" w:line="276" w:lineRule="auto"/>
        <w:ind w:left="714" w:hanging="357"/>
        <w:rPr>
          <w:rFonts w:ascii="Calibri" w:hAnsi="Calibri"/>
        </w:rPr>
      </w:pPr>
      <w:r w:rsidRPr="004B77D6">
        <w:rPr>
          <w:rFonts w:ascii="Calibri" w:hAnsi="Calibri"/>
        </w:rPr>
        <w:t>Przedsiębiorcy otrzymującemu pomoc publiczną należy powierzyć wypełnienie odpowiedniego, jasno określonego zobowiązania w zakresie świadczenia usług publicznych.</w:t>
      </w:r>
    </w:p>
    <w:p w14:paraId="55CE8A13" w14:textId="77777777" w:rsidR="00C2071D" w:rsidRPr="004B77D6" w:rsidRDefault="00C2071D" w:rsidP="0089006E">
      <w:pPr>
        <w:pStyle w:val="Tekstpodstawowy"/>
        <w:numPr>
          <w:ilvl w:val="0"/>
          <w:numId w:val="26"/>
        </w:numPr>
        <w:spacing w:before="120" w:line="276" w:lineRule="auto"/>
        <w:ind w:left="714" w:hanging="357"/>
        <w:rPr>
          <w:rFonts w:ascii="Calibri" w:hAnsi="Calibri"/>
        </w:rPr>
      </w:pPr>
      <w:r w:rsidRPr="004B77D6">
        <w:rPr>
          <w:rFonts w:ascii="Calibri" w:hAnsi="Calibri"/>
        </w:rPr>
        <w:t>Parametry zastosowane do obliczenia rekompensaty muszą zostać ustalone wcześniej w sposób obiektywny i przejrzysty.</w:t>
      </w:r>
    </w:p>
    <w:p w14:paraId="6F93E0BA" w14:textId="77777777" w:rsidR="00C2071D" w:rsidRPr="004B77D6" w:rsidRDefault="00C2071D" w:rsidP="0089006E">
      <w:pPr>
        <w:pStyle w:val="Tekstpodstawowy"/>
        <w:numPr>
          <w:ilvl w:val="0"/>
          <w:numId w:val="26"/>
        </w:numPr>
        <w:spacing w:before="120" w:line="276" w:lineRule="auto"/>
        <w:ind w:left="714" w:hanging="357"/>
        <w:rPr>
          <w:rFonts w:ascii="Calibri" w:hAnsi="Calibri"/>
        </w:rPr>
      </w:pPr>
      <w:r w:rsidRPr="004B77D6">
        <w:rPr>
          <w:rFonts w:ascii="Calibri" w:hAnsi="Calibri"/>
        </w:rPr>
        <w:t xml:space="preserve">Wysokość rekompensaty nie powinna przekraczać </w:t>
      </w:r>
      <w:hyperlink r:id="rId10" w:history="1">
        <w:r w:rsidRPr="004B77D6">
          <w:rPr>
            <w:rStyle w:val="Hipercze"/>
            <w:rFonts w:ascii="Calibri" w:hAnsi="Calibri"/>
            <w:color w:val="auto"/>
            <w:u w:val="none"/>
          </w:rPr>
          <w:t>kwoty</w:t>
        </w:r>
      </w:hyperlink>
      <w:r w:rsidRPr="004B77D6">
        <w:rPr>
          <w:rFonts w:ascii="Calibri" w:hAnsi="Calibri"/>
        </w:rPr>
        <w:t xml:space="preserve"> całości lub części kosztów poniesionych w czasie realizacji usług publicznych, z uwzględnieniem wszystkich stosownych rachunków oraz rozsądnego </w:t>
      </w:r>
      <w:hyperlink r:id="rId11" w:history="1">
        <w:r w:rsidRPr="004B77D6">
          <w:rPr>
            <w:rStyle w:val="Hipercze"/>
            <w:rFonts w:ascii="Calibri" w:hAnsi="Calibri"/>
            <w:color w:val="auto"/>
            <w:u w:val="none"/>
          </w:rPr>
          <w:t>zysku</w:t>
        </w:r>
      </w:hyperlink>
      <w:r w:rsidRPr="004B77D6">
        <w:rPr>
          <w:rFonts w:ascii="Calibri" w:hAnsi="Calibri"/>
        </w:rPr>
        <w:t>.</w:t>
      </w:r>
    </w:p>
    <w:p w14:paraId="17213A02" w14:textId="77777777" w:rsidR="00C2071D" w:rsidRPr="004B77D6" w:rsidRDefault="00C2071D" w:rsidP="0089006E">
      <w:pPr>
        <w:pStyle w:val="Tekstpodstawowy"/>
        <w:numPr>
          <w:ilvl w:val="0"/>
          <w:numId w:val="26"/>
        </w:numPr>
        <w:spacing w:before="120" w:line="276" w:lineRule="auto"/>
        <w:ind w:left="714" w:hanging="357"/>
        <w:rPr>
          <w:rFonts w:ascii="Calibri" w:hAnsi="Calibri"/>
        </w:rPr>
      </w:pPr>
      <w:r w:rsidRPr="004B77D6">
        <w:rPr>
          <w:rFonts w:ascii="Calibri" w:hAnsi="Calibri"/>
        </w:rPr>
        <w:t>W przypadkach kiedy przedsiębiorstwo, któremu powierzono wykonanie takich zadań, nie zostało wyłonione zgodnie z procedurą zamówień publicznych, poziom rekompensaty ma być obliczony na podstawie analizy kosztów, które poniosłoby przeciętne dobrze zarządzane przedsiębiorstwo, z uwzględnieniem rozsądnego zysku.</w:t>
      </w:r>
    </w:p>
    <w:p w14:paraId="70BB0AB5" w14:textId="77777777" w:rsidR="00C2071D" w:rsidRPr="004B77D6" w:rsidRDefault="00C2071D" w:rsidP="00C2071D">
      <w:pPr>
        <w:pStyle w:val="Tekstpodstawowy"/>
        <w:spacing w:before="120" w:line="276" w:lineRule="auto"/>
        <w:rPr>
          <w:rFonts w:ascii="Calibri" w:hAnsi="Calibri"/>
          <w:b/>
          <w:bCs/>
        </w:rPr>
      </w:pPr>
    </w:p>
    <w:p w14:paraId="5296B37F" w14:textId="77777777" w:rsidR="00C2071D" w:rsidRPr="004B77D6" w:rsidRDefault="00C2071D" w:rsidP="00C2071D">
      <w:pPr>
        <w:pStyle w:val="Tekstpodstawowy"/>
        <w:spacing w:before="120" w:line="276" w:lineRule="auto"/>
        <w:rPr>
          <w:rFonts w:ascii="Calibri" w:hAnsi="Calibri"/>
        </w:rPr>
      </w:pPr>
      <w:r w:rsidRPr="004B77D6">
        <w:rPr>
          <w:rFonts w:ascii="Calibri" w:hAnsi="Calibri"/>
          <w:b/>
          <w:bCs/>
        </w:rPr>
        <w:t xml:space="preserve">Łączne spełnienie wskazanych powyżej warunków powoduje, że rekompensata z tytułu świadczenia usług publicznych nie jest korzyścią dla przedsiębiorcy przekazywaną na </w:t>
      </w:r>
      <w:r w:rsidRPr="004B77D6">
        <w:rPr>
          <w:rFonts w:ascii="Calibri" w:hAnsi="Calibri"/>
          <w:b/>
          <w:bCs/>
        </w:rPr>
        <w:lastRenderedPageBreak/>
        <w:t xml:space="preserve">zasadach odbiegających od rynkowych, a zatem nie stanowi pomocy publicznej </w:t>
      </w:r>
      <w:r w:rsidRPr="004B77D6">
        <w:rPr>
          <w:rFonts w:ascii="Calibri" w:hAnsi="Calibri"/>
          <w:b/>
          <w:bCs/>
        </w:rPr>
        <w:br/>
        <w:t xml:space="preserve">(tym samym nie podlega ona notyfikacji, o której mowa w art. 108 ust. 3 TFUE). </w:t>
      </w:r>
    </w:p>
    <w:p w14:paraId="7A70DEC8" w14:textId="3E738AB0" w:rsidR="00C2071D" w:rsidRPr="004B77D6" w:rsidRDefault="00C2071D" w:rsidP="00C2071D">
      <w:pPr>
        <w:pStyle w:val="Nagwek1"/>
        <w:numPr>
          <w:ilvl w:val="2"/>
          <w:numId w:val="7"/>
        </w:numPr>
        <w:tabs>
          <w:tab w:val="clear" w:pos="993"/>
          <w:tab w:val="num" w:pos="1134"/>
        </w:tabs>
        <w:spacing w:after="120" w:line="276" w:lineRule="auto"/>
        <w:ind w:left="851"/>
        <w:rPr>
          <w:rFonts w:ascii="Calibri" w:hAnsi="Calibri"/>
          <w:sz w:val="24"/>
          <w:szCs w:val="24"/>
        </w:rPr>
      </w:pPr>
      <w:bookmarkStart w:id="17" w:name="_Toc477857430"/>
      <w:bookmarkStart w:id="18" w:name="_Toc127344054"/>
      <w:bookmarkStart w:id="19" w:name="_Toc184900793"/>
      <w:r w:rsidRPr="004B77D6">
        <w:rPr>
          <w:rFonts w:ascii="Calibri" w:hAnsi="Calibri"/>
          <w:sz w:val="24"/>
          <w:szCs w:val="24"/>
        </w:rPr>
        <w:t>ANALIZA POPYTU ORAZ OPCJI</w:t>
      </w:r>
      <w:bookmarkEnd w:id="17"/>
      <w:bookmarkEnd w:id="18"/>
      <w:bookmarkEnd w:id="19"/>
    </w:p>
    <w:p w14:paraId="571FA214" w14:textId="77777777" w:rsidR="00C2071D" w:rsidRPr="004B77D6" w:rsidRDefault="00C2071D" w:rsidP="00C2071D">
      <w:pPr>
        <w:suppressAutoHyphens w:val="0"/>
        <w:autoSpaceDE w:val="0"/>
        <w:autoSpaceDN w:val="0"/>
        <w:adjustRightInd w:val="0"/>
        <w:spacing w:before="120" w:after="120" w:line="276" w:lineRule="auto"/>
        <w:ind w:firstLine="567"/>
        <w:rPr>
          <w:rFonts w:ascii="Calibri" w:hAnsi="Calibri"/>
          <w:szCs w:val="24"/>
        </w:rPr>
      </w:pPr>
      <w:r w:rsidRPr="004B77D6">
        <w:rPr>
          <w:rFonts w:ascii="Calibri" w:hAnsi="Calibri"/>
          <w:szCs w:val="24"/>
        </w:rPr>
        <w:t xml:space="preserve">Analiza popytu identyfikuje i ilościowo określa społeczne zapotrzebowanie na realizację planowanej inwestycji. W jej ramach należy uwzględnić zarówno bieżący </w:t>
      </w:r>
      <w:r w:rsidRPr="004B77D6">
        <w:rPr>
          <w:rFonts w:ascii="Calibri" w:hAnsi="Calibri"/>
          <w:szCs w:val="24"/>
        </w:rPr>
        <w:br/>
        <w:t xml:space="preserve">(w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w:t>
      </w:r>
      <w:r w:rsidRPr="004B77D6">
        <w:rPr>
          <w:rFonts w:ascii="Calibri" w:hAnsi="Calibri"/>
          <w:szCs w:val="24"/>
        </w:rPr>
        <w:br/>
        <w:t xml:space="preserve">(jeżeli występuje lub może wystąpić w wyniku realizacji inwestycji). </w:t>
      </w:r>
    </w:p>
    <w:p w14:paraId="7399CA2E"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Analiza opcji polega na dokonaniu porównania i oceny możliwych do zastosowania rozwiązań inwestycyjnych zidentyfikowanych na etapie analizy wykonalności. Nie jest dopuszczalne, aby w ramach analizy opcji dokonać porównania jednego rozwiązania inwestycyjnego z wariantem bezinwestycyjnym, za wyjątkiem projektów, dla których brak jest technicznego, finansowego i prawnego alternatywnego rozwiązania inwestycyjnego </w:t>
      </w:r>
      <w:r w:rsidRPr="004B77D6">
        <w:rPr>
          <w:rFonts w:ascii="Calibri" w:hAnsi="Calibri"/>
          <w:szCs w:val="24"/>
        </w:rPr>
        <w:br/>
        <w:t xml:space="preserve">(np.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 Celem tej analizy jest wskazanie, które z ww. rozwiązań jest najkorzystniejsze. Powinny one być ze sobą porównywalne w oparciu o szereg kryteriów, m.in. kryteria techniczne, instytucjonalne, ekonomiczne i środowiskowe. </w:t>
      </w:r>
    </w:p>
    <w:p w14:paraId="6DEE3CA5"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Analizę opcji należy przeprowadzać w dwóch etapach: </w:t>
      </w:r>
    </w:p>
    <w:p w14:paraId="6799828C"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 etap pierwszy – analiza strategiczna – ten etap koncentruje się na podstawowych rozwiązaniach o charakterze strategicznym (np. rodzaj infrastruktury lub środków transportu albo lokalizacja projektu). Etap ten, co do zasady, przyjmuje formę analizy wielokryterialnej </w:t>
      </w:r>
      <w:r w:rsidRPr="004B77D6">
        <w:rPr>
          <w:rFonts w:ascii="Calibri" w:hAnsi="Calibri"/>
          <w:szCs w:val="24"/>
        </w:rPr>
        <w:br/>
        <w:t>i opiera się na kryteriach jakościowych.</w:t>
      </w:r>
    </w:p>
    <w:p w14:paraId="07321166"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b) etap drugi – analiza rozwiązań technologicznych – na tym etapie należy przeanalizować poszczególne rozwiązania pod kątem technologicznym, np. odpowiedzieć na pytanie, </w:t>
      </w:r>
      <w:r w:rsidRPr="004B77D6">
        <w:rPr>
          <w:rFonts w:ascii="Calibri" w:hAnsi="Calibri"/>
          <w:szCs w:val="24"/>
        </w:rPr>
        <w:br/>
        <w:t xml:space="preserve">czy bardziej korzystna będzie modernizacja już funkcjonującej infrastruktury, czy też budowa nowej. Do przeprowadzenia tego etapu zazwyczaj zastosowanie mają metody oparte </w:t>
      </w:r>
      <w:r w:rsidRPr="004B77D6">
        <w:rPr>
          <w:rFonts w:ascii="Calibri" w:hAnsi="Calibri"/>
          <w:szCs w:val="24"/>
        </w:rPr>
        <w:br/>
        <w:t>na kryteriach ilościowych.</w:t>
      </w:r>
    </w:p>
    <w:p w14:paraId="26D2360C"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W odniesieniu do projektów nie będących dużymi projektami możliwe jest przeprowadzenie analizy opcji w sposób uproszczony – wyłącznie w oparciu o kryteria jakościowe.</w:t>
      </w:r>
    </w:p>
    <w:p w14:paraId="6970227A" w14:textId="77777777" w:rsidR="00C2071D" w:rsidRPr="004B77D6" w:rsidRDefault="00C2071D" w:rsidP="00C2071D">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lastRenderedPageBreak/>
        <w:t xml:space="preserve">Po przeprowadzeniu analizy wykonalności, analizy popytu oraz analizy opcji wnioskodawca powinien dokonać wyboru rozwiązania do zastosowania i sformułować jego uzasadnienie. </w:t>
      </w:r>
    </w:p>
    <w:p w14:paraId="0DE7A466" w14:textId="24671F4B" w:rsidR="00C2071D" w:rsidRPr="004B77D6" w:rsidRDefault="00C2071D" w:rsidP="00C2071D">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20" w:name="_Toc477857431"/>
      <w:bookmarkStart w:id="21" w:name="_Toc127344055"/>
      <w:bookmarkStart w:id="22" w:name="_Toc184900794"/>
      <w:r w:rsidRPr="004B77D6">
        <w:rPr>
          <w:rFonts w:ascii="Calibri" w:hAnsi="Calibri"/>
          <w:sz w:val="24"/>
          <w:szCs w:val="24"/>
        </w:rPr>
        <w:t>ZASTOSOWANE UPROSZCZONE METODY ROZLICZANIA WYDATKÓW</w:t>
      </w:r>
      <w:bookmarkEnd w:id="20"/>
      <w:bookmarkEnd w:id="21"/>
      <w:bookmarkEnd w:id="22"/>
    </w:p>
    <w:p w14:paraId="0A9A9D1F" w14:textId="77777777" w:rsidR="00C2071D" w:rsidRPr="004B77D6" w:rsidRDefault="00C2071D" w:rsidP="00C2071D">
      <w:pPr>
        <w:suppressAutoHyphens w:val="0"/>
        <w:autoSpaceDE w:val="0"/>
        <w:autoSpaceDN w:val="0"/>
        <w:adjustRightInd w:val="0"/>
        <w:spacing w:line="276" w:lineRule="auto"/>
        <w:ind w:firstLine="851"/>
        <w:rPr>
          <w:rFonts w:ascii="Calibri" w:hAnsi="Calibri"/>
          <w:color w:val="000000"/>
          <w:szCs w:val="24"/>
        </w:rPr>
      </w:pPr>
      <w:r w:rsidRPr="004B77D6">
        <w:rPr>
          <w:rFonts w:ascii="Calibri" w:hAnsi="Calibri"/>
          <w:szCs w:val="24"/>
        </w:rPr>
        <w:t xml:space="preserve">W przypadku gdy w projekcie występują wydatki rozliczane na podstawie uproszczonych metod rozliczania wydatków należy w tabeli E.1 przedstawić zastosowaną </w:t>
      </w:r>
      <w:r w:rsidRPr="004B77D6">
        <w:rPr>
          <w:rFonts w:ascii="Calibri" w:hAnsi="Calibri"/>
          <w:szCs w:val="24"/>
        </w:rPr>
        <w:br/>
        <w:t>w projekcie uproszczoną metodę. Zwraca się uwagę na zachowanie zgodności z zapisami zawartymi w  Regulaminie wyboru projektów</w:t>
      </w:r>
      <w:r w:rsidRPr="004B77D6">
        <w:rPr>
          <w:rFonts w:ascii="Calibri" w:hAnsi="Calibri"/>
          <w:color w:val="000000"/>
          <w:szCs w:val="24"/>
        </w:rPr>
        <w:t xml:space="preserve">. </w:t>
      </w:r>
    </w:p>
    <w:p w14:paraId="688A6D59" w14:textId="77777777" w:rsidR="00C2071D" w:rsidRPr="004B77D6" w:rsidRDefault="00C2071D" w:rsidP="00C2071D">
      <w:pPr>
        <w:suppressAutoHyphens w:val="0"/>
        <w:autoSpaceDE w:val="0"/>
        <w:autoSpaceDN w:val="0"/>
        <w:adjustRightInd w:val="0"/>
        <w:spacing w:line="276" w:lineRule="auto"/>
        <w:ind w:firstLine="851"/>
        <w:rPr>
          <w:rFonts w:ascii="Calibri" w:hAnsi="Calibri"/>
          <w:szCs w:val="24"/>
        </w:rPr>
      </w:pPr>
      <w:r w:rsidRPr="004B77D6">
        <w:rPr>
          <w:rFonts w:ascii="Calibri" w:hAnsi="Calibri"/>
          <w:szCs w:val="24"/>
        </w:rPr>
        <w:t>W przypadku wskazania uproszczonej metody rozliczania wydatków, w pkt. E.2 wnioskodawca przedstawia metodologię obliczeń. Dodatkowo w pkt. E.3 należy wpisać rzeczywisty % kosztów pośrednich w projekcie.</w:t>
      </w:r>
    </w:p>
    <w:p w14:paraId="2191ED4A" w14:textId="080BDB75" w:rsidR="00C2071D" w:rsidRPr="004B77D6" w:rsidRDefault="00C2071D" w:rsidP="00C2071D">
      <w:pPr>
        <w:pStyle w:val="Nagwek1"/>
        <w:numPr>
          <w:ilvl w:val="2"/>
          <w:numId w:val="7"/>
        </w:numPr>
        <w:tabs>
          <w:tab w:val="clear" w:pos="993"/>
          <w:tab w:val="num" w:pos="1134"/>
        </w:tabs>
        <w:spacing w:after="120" w:line="276" w:lineRule="auto"/>
        <w:ind w:left="851"/>
        <w:rPr>
          <w:rFonts w:ascii="Calibri" w:hAnsi="Calibri"/>
          <w:sz w:val="24"/>
          <w:szCs w:val="24"/>
        </w:rPr>
      </w:pPr>
      <w:bookmarkStart w:id="23" w:name="_Toc477857432"/>
      <w:bookmarkStart w:id="24" w:name="_Toc127344056"/>
      <w:bookmarkStart w:id="25" w:name="_Toc184900795"/>
      <w:r w:rsidRPr="004B77D6">
        <w:rPr>
          <w:rFonts w:ascii="Calibri" w:hAnsi="Calibri"/>
          <w:sz w:val="24"/>
          <w:szCs w:val="24"/>
        </w:rPr>
        <w:t>ANALIZA FINANSOWA</w:t>
      </w:r>
      <w:bookmarkEnd w:id="23"/>
      <w:bookmarkEnd w:id="24"/>
      <w:bookmarkEnd w:id="25"/>
      <w:r w:rsidRPr="004B77D6">
        <w:rPr>
          <w:rFonts w:ascii="Calibri" w:hAnsi="Calibri"/>
          <w:sz w:val="24"/>
          <w:szCs w:val="24"/>
        </w:rPr>
        <w:t xml:space="preserve"> </w:t>
      </w:r>
    </w:p>
    <w:p w14:paraId="7648F051" w14:textId="77777777" w:rsidR="00C2071D" w:rsidRPr="004B77D6" w:rsidRDefault="00C2071D" w:rsidP="00B144EB">
      <w:pPr>
        <w:pStyle w:val="Tekstpodstawowy22"/>
        <w:numPr>
          <w:ilvl w:val="3"/>
          <w:numId w:val="7"/>
        </w:numPr>
        <w:spacing w:before="240" w:after="120" w:line="276" w:lineRule="auto"/>
        <w:ind w:left="1701"/>
        <w:jc w:val="left"/>
        <w:rPr>
          <w:rFonts w:ascii="Calibri" w:hAnsi="Calibri"/>
          <w:b/>
          <w:szCs w:val="24"/>
        </w:rPr>
      </w:pPr>
      <w:r w:rsidRPr="004B77D6">
        <w:rPr>
          <w:rFonts w:ascii="Calibri" w:hAnsi="Calibri"/>
          <w:b/>
          <w:szCs w:val="24"/>
        </w:rPr>
        <w:t>Cele analizy</w:t>
      </w:r>
    </w:p>
    <w:p w14:paraId="67385BB8" w14:textId="41E10BA0" w:rsidR="00C2071D" w:rsidRPr="004B77D6" w:rsidRDefault="00C2071D" w:rsidP="00C2071D">
      <w:pPr>
        <w:suppressAutoHyphens w:val="0"/>
        <w:autoSpaceDE w:val="0"/>
        <w:autoSpaceDN w:val="0"/>
        <w:adjustRightInd w:val="0"/>
        <w:spacing w:before="120" w:after="120" w:line="276" w:lineRule="auto"/>
        <w:ind w:firstLine="709"/>
        <w:rPr>
          <w:rFonts w:ascii="Calibri" w:hAnsi="Calibri"/>
          <w:szCs w:val="24"/>
        </w:rPr>
      </w:pPr>
      <w:r w:rsidRPr="004B77D6">
        <w:rPr>
          <w:rFonts w:ascii="Calibri" w:hAnsi="Calibri"/>
          <w:szCs w:val="24"/>
        </w:rPr>
        <w:t xml:space="preserve">Analiza finansowa powinna wykazać: rentowność projektu z punktu widzenia inwestora, wymagania w zakresie finansowania zewnętrznego oraz przepływy finansowe związane z projektem. W szczególności powinna obejmować: ocenę finansowej efektywności inwestycji oraz kapitału własnego, weryfikację trwałości finansowej projektu. Analiza finansowa ma na celu wykazanie, że zapewnione środki finansowe będą wystarczające do sfinansowania projektu w okresie jego realizacji, a następnie eksploatacji. Istotne jest zwłaszcza wykazanie, że beneficjent posiada środki na sfinansowanie wkładu własnego na realizację projektu. </w:t>
      </w:r>
    </w:p>
    <w:p w14:paraId="78238B44" w14:textId="77777777" w:rsidR="00C2071D" w:rsidRPr="004B77D6" w:rsidRDefault="00C2071D" w:rsidP="00C2071D">
      <w:pPr>
        <w:pStyle w:val="Tekstpodstawowy22"/>
        <w:numPr>
          <w:ilvl w:val="3"/>
          <w:numId w:val="7"/>
        </w:numPr>
        <w:spacing w:before="120" w:after="120" w:line="276" w:lineRule="auto"/>
        <w:ind w:left="1701"/>
        <w:jc w:val="left"/>
        <w:rPr>
          <w:rFonts w:ascii="Calibri" w:hAnsi="Calibri"/>
          <w:b/>
          <w:szCs w:val="24"/>
        </w:rPr>
      </w:pPr>
      <w:r w:rsidRPr="004B77D6">
        <w:rPr>
          <w:rFonts w:ascii="Calibri" w:hAnsi="Calibri"/>
          <w:b/>
          <w:szCs w:val="24"/>
        </w:rPr>
        <w:t>Etapy analizy finansowej</w:t>
      </w:r>
    </w:p>
    <w:p w14:paraId="06A29F5A" w14:textId="7187E1A6" w:rsidR="00C2071D" w:rsidRDefault="00C2071D" w:rsidP="00CF1300">
      <w:pPr>
        <w:suppressAutoHyphens w:val="0"/>
        <w:autoSpaceDE w:val="0"/>
        <w:autoSpaceDN w:val="0"/>
        <w:adjustRightInd w:val="0"/>
        <w:spacing w:before="120" w:after="120" w:line="276" w:lineRule="auto"/>
        <w:rPr>
          <w:rFonts w:ascii="Calibri" w:hAnsi="Calibri"/>
          <w:bCs/>
          <w:szCs w:val="24"/>
        </w:rPr>
      </w:pPr>
      <w:r w:rsidRPr="004B77D6">
        <w:rPr>
          <w:rFonts w:ascii="Calibri" w:hAnsi="Calibri"/>
          <w:bCs/>
          <w:szCs w:val="24"/>
        </w:rPr>
        <w:t>W ramach analizy finansowej należy przeprowadzić m.in. następujące działania:</w:t>
      </w:r>
    </w:p>
    <w:p w14:paraId="728E068F" w14:textId="1AC612CE" w:rsidR="00BF29AE" w:rsidRPr="00BF29AE" w:rsidRDefault="00BF29AE" w:rsidP="0089006E">
      <w:pPr>
        <w:pStyle w:val="Akapitzlist"/>
        <w:numPr>
          <w:ilvl w:val="0"/>
          <w:numId w:val="61"/>
        </w:numPr>
        <w:autoSpaceDE w:val="0"/>
        <w:autoSpaceDN w:val="0"/>
        <w:adjustRightInd w:val="0"/>
        <w:spacing w:before="120" w:after="120"/>
        <w:rPr>
          <w:bCs/>
          <w:szCs w:val="24"/>
        </w:rPr>
      </w:pPr>
      <w:r w:rsidRPr="00BF29AE">
        <w:rPr>
          <w:bCs/>
          <w:szCs w:val="24"/>
        </w:rPr>
        <w:t xml:space="preserve">określić założenia do analizy, </w:t>
      </w:r>
    </w:p>
    <w:p w14:paraId="55EDF78A" w14:textId="3BCC25C1" w:rsidR="00BF29AE" w:rsidRPr="00BF29AE" w:rsidRDefault="00BF29AE" w:rsidP="0089006E">
      <w:pPr>
        <w:pStyle w:val="Akapitzlist"/>
        <w:numPr>
          <w:ilvl w:val="0"/>
          <w:numId w:val="61"/>
        </w:numPr>
        <w:autoSpaceDE w:val="0"/>
        <w:autoSpaceDN w:val="0"/>
        <w:adjustRightInd w:val="0"/>
        <w:spacing w:before="120" w:after="120"/>
        <w:rPr>
          <w:bCs/>
          <w:szCs w:val="24"/>
        </w:rPr>
      </w:pPr>
      <w:r w:rsidRPr="00BF29AE">
        <w:rPr>
          <w:bCs/>
          <w:szCs w:val="24"/>
        </w:rPr>
        <w:t xml:space="preserve">zestawić przepływy pieniężne projektu dla każdego roku analizy, </w:t>
      </w:r>
    </w:p>
    <w:p w14:paraId="612EB588" w14:textId="21D12A71" w:rsidR="00BF29AE" w:rsidRPr="00BF29AE" w:rsidRDefault="00BF29AE" w:rsidP="0089006E">
      <w:pPr>
        <w:pStyle w:val="Akapitzlist"/>
        <w:numPr>
          <w:ilvl w:val="0"/>
          <w:numId w:val="61"/>
        </w:numPr>
        <w:autoSpaceDE w:val="0"/>
        <w:autoSpaceDN w:val="0"/>
        <w:adjustRightInd w:val="0"/>
        <w:spacing w:before="120" w:after="120"/>
        <w:rPr>
          <w:bCs/>
          <w:szCs w:val="24"/>
        </w:rPr>
      </w:pPr>
      <w:r w:rsidRPr="00BF29AE">
        <w:rPr>
          <w:bCs/>
          <w:szCs w:val="24"/>
        </w:rPr>
        <w:t xml:space="preserve">określić źródła finansowania projektu, </w:t>
      </w:r>
    </w:p>
    <w:p w14:paraId="3C260CCE" w14:textId="7055F5E8" w:rsidR="00BF29AE" w:rsidRPr="00BF29AE" w:rsidRDefault="00BF29AE" w:rsidP="0089006E">
      <w:pPr>
        <w:pStyle w:val="Akapitzlist"/>
        <w:numPr>
          <w:ilvl w:val="0"/>
          <w:numId w:val="61"/>
        </w:numPr>
        <w:autoSpaceDE w:val="0"/>
        <w:autoSpaceDN w:val="0"/>
        <w:adjustRightInd w:val="0"/>
        <w:spacing w:before="120" w:after="120"/>
        <w:rPr>
          <w:bCs/>
          <w:szCs w:val="24"/>
        </w:rPr>
      </w:pPr>
      <w:r w:rsidRPr="00BF29AE">
        <w:rPr>
          <w:bCs/>
          <w:szCs w:val="24"/>
        </w:rPr>
        <w:t xml:space="preserve">ustalić wartości wskaźników efektywności finansowej projektu, </w:t>
      </w:r>
    </w:p>
    <w:p w14:paraId="04E8860F" w14:textId="2CC7C2B6" w:rsidR="00BF29AE" w:rsidRPr="00BF29AE" w:rsidRDefault="00BF29AE" w:rsidP="0089006E">
      <w:pPr>
        <w:pStyle w:val="Akapitzlist"/>
        <w:numPr>
          <w:ilvl w:val="0"/>
          <w:numId w:val="61"/>
        </w:numPr>
        <w:autoSpaceDE w:val="0"/>
        <w:autoSpaceDN w:val="0"/>
        <w:adjustRightInd w:val="0"/>
        <w:spacing w:before="120" w:after="120"/>
        <w:rPr>
          <w:bCs/>
          <w:szCs w:val="24"/>
        </w:rPr>
      </w:pPr>
      <w:r w:rsidRPr="00BF29AE">
        <w:rPr>
          <w:bCs/>
          <w:szCs w:val="24"/>
        </w:rPr>
        <w:t>przeprowadzić analizę trwałości finansowej.</w:t>
      </w:r>
    </w:p>
    <w:p w14:paraId="46679328" w14:textId="77777777" w:rsidR="00C2071D" w:rsidRPr="004B77D6" w:rsidRDefault="00C2071D" w:rsidP="00C2071D">
      <w:pPr>
        <w:pStyle w:val="Tekstpodstawowy22"/>
        <w:numPr>
          <w:ilvl w:val="3"/>
          <w:numId w:val="7"/>
        </w:numPr>
        <w:spacing w:before="120" w:after="120" w:line="276" w:lineRule="auto"/>
        <w:ind w:left="1440" w:hanging="720"/>
        <w:jc w:val="left"/>
        <w:rPr>
          <w:rFonts w:ascii="Calibri" w:hAnsi="Calibri"/>
          <w:b/>
          <w:szCs w:val="24"/>
        </w:rPr>
      </w:pPr>
      <w:r w:rsidRPr="004B77D6">
        <w:rPr>
          <w:rFonts w:ascii="Calibri" w:hAnsi="Calibri"/>
          <w:b/>
          <w:szCs w:val="24"/>
        </w:rPr>
        <w:t>Metodyka analizy finansowej.</w:t>
      </w:r>
    </w:p>
    <w:p w14:paraId="0E85510F" w14:textId="77777777" w:rsidR="00C2071D" w:rsidRPr="004B77D6" w:rsidRDefault="00C2071D" w:rsidP="00C2071D">
      <w:pPr>
        <w:spacing w:before="120" w:after="120" w:line="276" w:lineRule="auto"/>
        <w:ind w:firstLine="708"/>
        <w:rPr>
          <w:rFonts w:ascii="Calibri" w:hAnsi="Calibri"/>
          <w:szCs w:val="24"/>
        </w:rPr>
      </w:pPr>
      <w:r w:rsidRPr="004B77D6">
        <w:rPr>
          <w:rFonts w:ascii="Calibri" w:hAnsi="Calibri"/>
          <w:szCs w:val="24"/>
        </w:rPr>
        <w:t xml:space="preserve">Analiza finansowa polega na przygotowaniu szeregu tabel, w których należy zamieścić dane dotyczące przepływu środków pieniężnych, tzn. rzeczywistej kwoty wypłaconej lub otrzymanej w ramach realizowanego projektu. Przeprowadza się ją w oparciu o metodologię zdyskontowanego przepływu środków pieniężnych, zwaną dalej analizą DCF </w:t>
      </w:r>
      <w:r w:rsidRPr="004B77D6">
        <w:rPr>
          <w:rFonts w:ascii="Calibri" w:hAnsi="Calibri"/>
          <w:szCs w:val="24"/>
        </w:rPr>
        <w:br/>
        <w:t xml:space="preserve">(ang. </w:t>
      </w:r>
      <w:proofErr w:type="spellStart"/>
      <w:r w:rsidRPr="004B77D6">
        <w:rPr>
          <w:rFonts w:ascii="Calibri" w:hAnsi="Calibri"/>
          <w:szCs w:val="24"/>
        </w:rPr>
        <w:t>Discounted</w:t>
      </w:r>
      <w:proofErr w:type="spellEnd"/>
      <w:r w:rsidRPr="004B77D6">
        <w:rPr>
          <w:rFonts w:ascii="Calibri" w:hAnsi="Calibri"/>
          <w:szCs w:val="24"/>
        </w:rPr>
        <w:t xml:space="preserve"> Cash </w:t>
      </w:r>
      <w:proofErr w:type="spellStart"/>
      <w:r w:rsidRPr="004B77D6">
        <w:rPr>
          <w:rFonts w:ascii="Calibri" w:hAnsi="Calibri"/>
          <w:szCs w:val="24"/>
        </w:rPr>
        <w:t>Flow</w:t>
      </w:r>
      <w:proofErr w:type="spellEnd"/>
      <w:r w:rsidRPr="004B77D6">
        <w:rPr>
          <w:rFonts w:ascii="Calibri" w:hAnsi="Calibri"/>
          <w:szCs w:val="24"/>
        </w:rPr>
        <w:t>).</w:t>
      </w:r>
    </w:p>
    <w:p w14:paraId="2B8352AA" w14:textId="77777777" w:rsidR="00C2071D" w:rsidRPr="004B77D6" w:rsidRDefault="00C2071D" w:rsidP="00C2071D">
      <w:pPr>
        <w:spacing w:before="120" w:after="120" w:line="276" w:lineRule="auto"/>
        <w:rPr>
          <w:rFonts w:ascii="Calibri" w:hAnsi="Calibri"/>
          <w:szCs w:val="24"/>
        </w:rPr>
      </w:pPr>
      <w:r w:rsidRPr="004B77D6">
        <w:rPr>
          <w:rFonts w:ascii="Calibri" w:hAnsi="Calibri"/>
          <w:szCs w:val="24"/>
        </w:rPr>
        <w:lastRenderedPageBreak/>
        <w:t>Metodologia DCF charakteryzuje się następującymi cechami:</w:t>
      </w:r>
    </w:p>
    <w:p w14:paraId="68070FA8" w14:textId="77777777" w:rsidR="00C2071D" w:rsidRPr="004B77D6" w:rsidRDefault="00C2071D" w:rsidP="0089006E">
      <w:pPr>
        <w:numPr>
          <w:ilvl w:val="0"/>
          <w:numId w:val="22"/>
        </w:numPr>
        <w:tabs>
          <w:tab w:val="clear" w:pos="720"/>
          <w:tab w:val="num" w:pos="360"/>
          <w:tab w:val="num" w:pos="1428"/>
        </w:tabs>
        <w:spacing w:line="276" w:lineRule="auto"/>
        <w:ind w:hanging="720"/>
        <w:rPr>
          <w:rFonts w:ascii="Calibri" w:hAnsi="Calibri"/>
          <w:szCs w:val="24"/>
        </w:rPr>
      </w:pPr>
      <w:r w:rsidRPr="004B77D6">
        <w:rPr>
          <w:rFonts w:ascii="Calibri" w:hAnsi="Calibri"/>
          <w:szCs w:val="24"/>
        </w:rPr>
        <w:t>obejmuje skonsolidowaną analizę finansową,</w:t>
      </w:r>
    </w:p>
    <w:p w14:paraId="71F0A04E" w14:textId="77777777" w:rsidR="00C2071D" w:rsidRPr="004B77D6" w:rsidRDefault="00C2071D" w:rsidP="0089006E">
      <w:pPr>
        <w:numPr>
          <w:ilvl w:val="0"/>
          <w:numId w:val="22"/>
        </w:numPr>
        <w:tabs>
          <w:tab w:val="clear" w:pos="720"/>
          <w:tab w:val="num" w:pos="360"/>
          <w:tab w:val="num" w:pos="1428"/>
        </w:tabs>
        <w:spacing w:line="276" w:lineRule="auto"/>
        <w:ind w:hanging="720"/>
        <w:rPr>
          <w:rFonts w:ascii="Calibri" w:hAnsi="Calibri"/>
          <w:szCs w:val="24"/>
        </w:rPr>
      </w:pPr>
      <w:r w:rsidRPr="004B77D6">
        <w:rPr>
          <w:rFonts w:ascii="Calibri" w:hAnsi="Calibri"/>
          <w:szCs w:val="24"/>
        </w:rPr>
        <w:t>bierze pod uwagę wyłącznie przepływ środków pieniężnych,</w:t>
      </w:r>
    </w:p>
    <w:p w14:paraId="3742CF57" w14:textId="77777777" w:rsidR="00C2071D" w:rsidRPr="004B77D6" w:rsidRDefault="00C2071D" w:rsidP="0089006E">
      <w:pPr>
        <w:numPr>
          <w:ilvl w:val="0"/>
          <w:numId w:val="22"/>
        </w:numPr>
        <w:tabs>
          <w:tab w:val="clear" w:pos="720"/>
          <w:tab w:val="num" w:pos="360"/>
          <w:tab w:val="num" w:pos="1428"/>
        </w:tabs>
        <w:spacing w:line="276" w:lineRule="auto"/>
        <w:ind w:left="360"/>
        <w:rPr>
          <w:rFonts w:ascii="Calibri" w:hAnsi="Calibri"/>
          <w:szCs w:val="24"/>
        </w:rPr>
      </w:pPr>
      <w:r w:rsidRPr="004B77D6">
        <w:rPr>
          <w:rFonts w:ascii="Calibri" w:hAnsi="Calibri"/>
          <w:szCs w:val="24"/>
        </w:rPr>
        <w:t xml:space="preserve">uwzględnia przepływy środków pieniężnych w tym roku, w którym zostały dokonane </w:t>
      </w:r>
      <w:r w:rsidRPr="004B77D6">
        <w:rPr>
          <w:rFonts w:ascii="Calibri" w:hAnsi="Calibri"/>
          <w:szCs w:val="24"/>
        </w:rPr>
        <w:br/>
        <w:t>i ujęte w danym okresie odniesienia,</w:t>
      </w:r>
    </w:p>
    <w:p w14:paraId="191911F4" w14:textId="77777777" w:rsidR="00C2071D" w:rsidRPr="004B77D6" w:rsidRDefault="00C2071D" w:rsidP="0089006E">
      <w:pPr>
        <w:numPr>
          <w:ilvl w:val="0"/>
          <w:numId w:val="22"/>
        </w:numPr>
        <w:tabs>
          <w:tab w:val="left" w:pos="360"/>
        </w:tabs>
        <w:spacing w:line="276" w:lineRule="auto"/>
        <w:ind w:left="360"/>
        <w:rPr>
          <w:rFonts w:ascii="Calibri" w:hAnsi="Calibri"/>
          <w:szCs w:val="24"/>
        </w:rPr>
      </w:pPr>
      <w:r w:rsidRPr="004B77D6">
        <w:rPr>
          <w:rFonts w:ascii="Calibri" w:hAnsi="Calibri"/>
          <w:szCs w:val="24"/>
        </w:rPr>
        <w:t>uwzględnia wartość rezydualną, w przypadku gdy rzeczywisty okres gospodarczego życia projektu przekracza dany okres odniesienia,</w:t>
      </w:r>
    </w:p>
    <w:p w14:paraId="71D26CD8" w14:textId="77777777" w:rsidR="00C2071D" w:rsidRPr="004B77D6" w:rsidRDefault="00C2071D" w:rsidP="0089006E">
      <w:pPr>
        <w:numPr>
          <w:ilvl w:val="0"/>
          <w:numId w:val="22"/>
        </w:numPr>
        <w:tabs>
          <w:tab w:val="clear" w:pos="720"/>
          <w:tab w:val="num" w:pos="360"/>
          <w:tab w:val="num" w:pos="1428"/>
        </w:tabs>
        <w:spacing w:line="276" w:lineRule="auto"/>
        <w:ind w:left="360"/>
        <w:rPr>
          <w:rFonts w:ascii="Calibri" w:hAnsi="Calibri"/>
          <w:szCs w:val="24"/>
        </w:rPr>
      </w:pPr>
      <w:r w:rsidRPr="004B77D6">
        <w:rPr>
          <w:rFonts w:ascii="Calibri" w:hAnsi="Calibri"/>
          <w:szCs w:val="24"/>
        </w:rPr>
        <w:t xml:space="preserve">uwzględnia wartość pieniądza w czasie, przy zsumowaniu przepływów finansowych </w:t>
      </w:r>
      <w:r w:rsidRPr="004B77D6">
        <w:rPr>
          <w:rFonts w:ascii="Calibri" w:hAnsi="Calibri"/>
          <w:szCs w:val="24"/>
        </w:rPr>
        <w:br/>
        <w:t>w różnych latach.</w:t>
      </w:r>
    </w:p>
    <w:p w14:paraId="30A684F1" w14:textId="77777777" w:rsidR="00C2071D" w:rsidRPr="004B77D6" w:rsidRDefault="00C2071D" w:rsidP="00C2071D">
      <w:pPr>
        <w:pStyle w:val="Tekstpodstawowy22"/>
        <w:numPr>
          <w:ilvl w:val="3"/>
          <w:numId w:val="7"/>
        </w:numPr>
        <w:spacing w:before="120" w:after="120" w:line="276" w:lineRule="auto"/>
        <w:ind w:left="1440" w:hanging="720"/>
        <w:jc w:val="left"/>
        <w:rPr>
          <w:rFonts w:ascii="Calibri" w:hAnsi="Calibri"/>
          <w:b/>
          <w:szCs w:val="24"/>
        </w:rPr>
      </w:pPr>
      <w:r w:rsidRPr="004B77D6">
        <w:rPr>
          <w:rFonts w:ascii="Calibri" w:hAnsi="Calibri"/>
          <w:b/>
          <w:szCs w:val="24"/>
        </w:rPr>
        <w:t>Założenia do analizy finansowej</w:t>
      </w:r>
    </w:p>
    <w:p w14:paraId="7F46EFBB" w14:textId="77777777" w:rsidR="00C2071D" w:rsidRPr="004B77D6" w:rsidRDefault="00C2071D" w:rsidP="00C2071D">
      <w:pPr>
        <w:spacing w:before="120" w:after="120" w:line="276" w:lineRule="auto"/>
        <w:rPr>
          <w:rFonts w:ascii="Calibri" w:hAnsi="Calibri"/>
          <w:szCs w:val="24"/>
        </w:rPr>
      </w:pPr>
      <w:r w:rsidRPr="004B77D6">
        <w:rPr>
          <w:rFonts w:ascii="Calibri" w:hAnsi="Calibri"/>
          <w:szCs w:val="24"/>
        </w:rPr>
        <w:t>Poprawne założenia analizy finansowej, jednolite dla wszystkich projektów w danym sektorze, powinny się opierać na nw. założeniach:</w:t>
      </w:r>
    </w:p>
    <w:p w14:paraId="5F67E57F" w14:textId="77777777" w:rsidR="00C2071D" w:rsidRPr="004B77D6" w:rsidRDefault="00C2071D" w:rsidP="0089006E">
      <w:pPr>
        <w:numPr>
          <w:ilvl w:val="0"/>
          <w:numId w:val="23"/>
        </w:numPr>
        <w:tabs>
          <w:tab w:val="num" w:pos="360"/>
        </w:tabs>
        <w:spacing w:line="276" w:lineRule="auto"/>
        <w:ind w:hanging="2007"/>
        <w:rPr>
          <w:rFonts w:ascii="Calibri" w:hAnsi="Calibri"/>
          <w:szCs w:val="24"/>
        </w:rPr>
      </w:pPr>
      <w:r w:rsidRPr="004B77D6">
        <w:rPr>
          <w:rFonts w:ascii="Calibri" w:hAnsi="Calibri"/>
          <w:szCs w:val="24"/>
        </w:rPr>
        <w:t>o ile to możliwe i uzasadnione, powinna być przeprowadzona w cenach stałych,</w:t>
      </w:r>
    </w:p>
    <w:p w14:paraId="2FDC300D" w14:textId="77777777" w:rsidR="00C2071D" w:rsidRPr="004B77D6" w:rsidRDefault="00C2071D" w:rsidP="00C2071D">
      <w:pPr>
        <w:spacing w:line="276" w:lineRule="auto"/>
        <w:rPr>
          <w:rFonts w:ascii="Calibri" w:hAnsi="Calibri"/>
          <w:szCs w:val="24"/>
        </w:rPr>
      </w:pPr>
      <w:r w:rsidRPr="004B77D6">
        <w:rPr>
          <w:rFonts w:ascii="Calibri" w:hAnsi="Calibri"/>
          <w:szCs w:val="24"/>
        </w:rPr>
        <w:t>powinna być sporządzona:</w:t>
      </w:r>
    </w:p>
    <w:p w14:paraId="2D2C2051" w14:textId="77777777" w:rsidR="00C2071D" w:rsidRPr="004B77D6" w:rsidRDefault="00C2071D" w:rsidP="0089006E">
      <w:pPr>
        <w:numPr>
          <w:ilvl w:val="1"/>
          <w:numId w:val="23"/>
        </w:numPr>
        <w:tabs>
          <w:tab w:val="clear" w:pos="1440"/>
        </w:tabs>
        <w:spacing w:line="276" w:lineRule="auto"/>
        <w:ind w:left="284" w:hanging="284"/>
        <w:rPr>
          <w:rFonts w:ascii="Calibri" w:hAnsi="Calibri"/>
          <w:szCs w:val="24"/>
        </w:rPr>
      </w:pPr>
      <w:r w:rsidRPr="004B77D6">
        <w:rPr>
          <w:rFonts w:ascii="Calibri" w:hAnsi="Calibri"/>
          <w:szCs w:val="24"/>
        </w:rPr>
        <w:t>w cenach netto (bez podatku VAT) w przypadku gdy podatek VAT nie stanowi wydatku kwalifikowanego lub</w:t>
      </w:r>
    </w:p>
    <w:p w14:paraId="10E082BE" w14:textId="77777777" w:rsidR="00C2071D" w:rsidRPr="004B77D6" w:rsidRDefault="00C2071D" w:rsidP="0089006E">
      <w:pPr>
        <w:numPr>
          <w:ilvl w:val="1"/>
          <w:numId w:val="23"/>
        </w:numPr>
        <w:tabs>
          <w:tab w:val="clear" w:pos="1440"/>
        </w:tabs>
        <w:spacing w:line="276" w:lineRule="auto"/>
        <w:ind w:left="284" w:hanging="284"/>
        <w:rPr>
          <w:rFonts w:ascii="Calibri" w:hAnsi="Calibri"/>
          <w:szCs w:val="24"/>
        </w:rPr>
      </w:pPr>
      <w:r w:rsidRPr="004B77D6">
        <w:rPr>
          <w:rFonts w:ascii="Calibri" w:hAnsi="Calibri"/>
          <w:szCs w:val="24"/>
        </w:rPr>
        <w:t xml:space="preserve">w cenach brutto (wraz z podatkiem VAT), gdy podatek VAT stanowi koszt kwalifikowany oraz gdy jest niekwalifikowany, ale stanowi rzeczywisty </w:t>
      </w:r>
      <w:proofErr w:type="spellStart"/>
      <w:r w:rsidRPr="004B77D6">
        <w:rPr>
          <w:rFonts w:ascii="Calibri" w:hAnsi="Calibri"/>
          <w:szCs w:val="24"/>
        </w:rPr>
        <w:t>nieodzyskiwalny</w:t>
      </w:r>
      <w:proofErr w:type="spellEnd"/>
      <w:r w:rsidRPr="004B77D6">
        <w:rPr>
          <w:rFonts w:ascii="Calibri" w:hAnsi="Calibri"/>
          <w:szCs w:val="24"/>
        </w:rPr>
        <w:t xml:space="preserve"> wydatek podmiotu ponoszącego wydatki (patrz: Przewodnik AKK (wersja polskojęzyczna), podrozdział 2.7.2, przypis 33). </w:t>
      </w:r>
    </w:p>
    <w:p w14:paraId="10047929" w14:textId="77777777" w:rsidR="00C2071D" w:rsidRPr="004B77D6" w:rsidRDefault="00C2071D" w:rsidP="00C2071D">
      <w:pPr>
        <w:spacing w:line="276" w:lineRule="auto"/>
        <w:rPr>
          <w:rFonts w:ascii="Calibri" w:hAnsi="Calibri"/>
          <w:szCs w:val="24"/>
        </w:rPr>
      </w:pPr>
      <w:r w:rsidRPr="004B77D6">
        <w:rPr>
          <w:rFonts w:ascii="Calibri" w:hAnsi="Calibri"/>
          <w:szCs w:val="24"/>
        </w:rPr>
        <w:t>Podatek VAT należy wyodrębnić jako osobną pozycję analizy finansowej.</w:t>
      </w:r>
    </w:p>
    <w:p w14:paraId="16A8CDF9" w14:textId="1AEAF3F6" w:rsidR="00C2071D" w:rsidRPr="004B77D6" w:rsidRDefault="00C2071D" w:rsidP="0089006E">
      <w:pPr>
        <w:numPr>
          <w:ilvl w:val="0"/>
          <w:numId w:val="23"/>
        </w:numPr>
        <w:tabs>
          <w:tab w:val="num" w:pos="360"/>
        </w:tabs>
        <w:spacing w:before="120" w:after="120" w:line="276" w:lineRule="auto"/>
        <w:ind w:left="360"/>
        <w:rPr>
          <w:rFonts w:ascii="Calibri" w:hAnsi="Calibri"/>
          <w:szCs w:val="24"/>
        </w:rPr>
      </w:pPr>
      <w:r w:rsidRPr="004B77D6">
        <w:rPr>
          <w:rFonts w:ascii="Calibri" w:hAnsi="Calibri"/>
          <w:szCs w:val="24"/>
        </w:rPr>
        <w:t xml:space="preserve">zasady klasyfikujące VAT, jako wydatek kwalifikowalny bądź niekwalifikowalny znajdują się w </w:t>
      </w:r>
      <w:r w:rsidRPr="004B77D6">
        <w:rPr>
          <w:rFonts w:ascii="Calibri" w:hAnsi="Calibri"/>
          <w:i/>
          <w:szCs w:val="24"/>
        </w:rPr>
        <w:t>W</w:t>
      </w:r>
      <w:r w:rsidRPr="004B77D6">
        <w:rPr>
          <w:rFonts w:ascii="Calibri" w:hAnsi="Calibri"/>
          <w:i/>
          <w:iCs/>
          <w:szCs w:val="24"/>
        </w:rPr>
        <w:t xml:space="preserve">ytycznych </w:t>
      </w:r>
      <w:r w:rsidR="00BF29AE">
        <w:rPr>
          <w:rFonts w:ascii="Calibri" w:hAnsi="Calibri"/>
          <w:i/>
          <w:iCs/>
          <w:szCs w:val="24"/>
        </w:rPr>
        <w:t>dotyczących kwalifikowalności wydatków na lata 2021-2027.</w:t>
      </w:r>
    </w:p>
    <w:p w14:paraId="64F28626" w14:textId="77777777" w:rsidR="00C2071D" w:rsidRPr="004B77D6" w:rsidRDefault="00C2071D" w:rsidP="0089006E">
      <w:pPr>
        <w:numPr>
          <w:ilvl w:val="0"/>
          <w:numId w:val="23"/>
        </w:numPr>
        <w:tabs>
          <w:tab w:val="num" w:pos="360"/>
        </w:tabs>
        <w:spacing w:before="120" w:after="120" w:line="276" w:lineRule="auto"/>
        <w:ind w:left="360"/>
        <w:rPr>
          <w:rFonts w:ascii="Calibri" w:hAnsi="Calibri"/>
          <w:szCs w:val="24"/>
        </w:rPr>
      </w:pPr>
      <w:r w:rsidRPr="004B77D6">
        <w:rPr>
          <w:rFonts w:ascii="Calibri" w:hAnsi="Calibri"/>
          <w:szCs w:val="24"/>
        </w:rPr>
        <w:t>podatki bezpośrednie (m.in. podatek od nieruchomości) mogą zostać uwzględnione w analizie finansowej jako koszty, o ile stanowią one faktyczny koszt operacyjny ponoszony w związku z funkcjonowaniem projektu oraz istnieje możliwość ich skwantyfikowania. Każdorazowo, niezależnie od powyższych kryteriów, podatki bezpośrednie należy uwzględnić jako koszty w ramach analizy trwałości. Zasadność wskazania podatków bezpośrednich (np. podatku od nieruchomości) jako przychodów projektu powinna zostać poddana pogłębionej analizie, uwzględniającej specyfikę danego projektu. Opłata może zostać uznana za przychód projektu, jeżeli jest ona bezpośrednio związana z jego realizacją i usługami dostarczanymi przez projekt;</w:t>
      </w:r>
    </w:p>
    <w:p w14:paraId="298099F3" w14:textId="0A28EB0A" w:rsidR="00C2071D" w:rsidRPr="004B77D6" w:rsidRDefault="00BF29AE" w:rsidP="0089006E">
      <w:pPr>
        <w:numPr>
          <w:ilvl w:val="0"/>
          <w:numId w:val="23"/>
        </w:numPr>
        <w:tabs>
          <w:tab w:val="num" w:pos="360"/>
        </w:tabs>
        <w:spacing w:before="120" w:after="120" w:line="276" w:lineRule="auto"/>
        <w:ind w:left="360"/>
        <w:rPr>
          <w:rFonts w:ascii="Calibri" w:hAnsi="Calibri"/>
          <w:szCs w:val="24"/>
        </w:rPr>
      </w:pPr>
      <w:r w:rsidRPr="00BF29AE">
        <w:rPr>
          <w:rFonts w:ascii="Calibri" w:hAnsi="Calibri" w:cs="Arial"/>
          <w:color w:val="000000"/>
          <w:szCs w:val="24"/>
        </w:rPr>
        <w:t xml:space="preserve">analizy należy dokonać wyłącznie dla scenariusza (wariantu) podstawowego. W trakcie sporządzania prognozy przepływów/projekcji finansowej, należy korzystać z danych makroekonomicznych zawartych w wytycznych Ministra Finansów z dnia 3 października </w:t>
      </w:r>
      <w:r w:rsidRPr="00BF29AE">
        <w:rPr>
          <w:rFonts w:ascii="Calibri" w:hAnsi="Calibri" w:cs="Arial"/>
          <w:color w:val="000000"/>
          <w:szCs w:val="24"/>
        </w:rPr>
        <w:lastRenderedPageBreak/>
        <w:t xml:space="preserve">2022 r. dotyczących stosowania jednolitych wskaźników makroekonomicznych będących podstawą oszacowania skutków finansowych projektowanych ustaw albo w nowszej wersji tych wytycznych, jeżeli jest dostępna. Dla okresu analizy wykraczającego poza okres prognozy zawartej w ww. dokumencie należy stosować wartości, jak z ostatniego roku ww. wariantów, o ile zalecenia sektorowe, o których mowa w rozdziale 9 </w:t>
      </w:r>
      <w:r w:rsidRPr="00BF29AE">
        <w:rPr>
          <w:rFonts w:ascii="Calibri" w:hAnsi="Calibri" w:cs="Arial"/>
          <w:i/>
          <w:iCs/>
          <w:color w:val="000000"/>
          <w:szCs w:val="24"/>
        </w:rPr>
        <w:t>Wytycznych dotyczących zagadnień związanych z przygotowaniem projektów inwestycyjnych</w:t>
      </w:r>
      <w:r w:rsidRPr="00BF29AE">
        <w:rPr>
          <w:rFonts w:ascii="Calibri" w:hAnsi="Calibri" w:cs="Arial"/>
          <w:color w:val="000000"/>
          <w:szCs w:val="24"/>
        </w:rPr>
        <w:t xml:space="preserve">, </w:t>
      </w:r>
      <w:r w:rsidRPr="00BF29AE">
        <w:rPr>
          <w:rFonts w:ascii="Calibri" w:hAnsi="Calibri" w:cs="Arial"/>
          <w:i/>
          <w:iCs/>
          <w:color w:val="000000"/>
          <w:szCs w:val="24"/>
        </w:rPr>
        <w:t>w tym hybrydowych na lata 2021-2027</w:t>
      </w:r>
      <w:r w:rsidRPr="00BF29AE">
        <w:rPr>
          <w:rFonts w:ascii="Calibri" w:hAnsi="Calibri" w:cs="Arial"/>
          <w:color w:val="000000"/>
          <w:szCs w:val="24"/>
        </w:rPr>
        <w:t xml:space="preserve">, nie stanowią inaczej. Warianty te będą podlegały okresowej aktualizacji. W przypadku stawek podatkowych (w tym stawek VAT), należy stosować ich wartości, zgodnie z obowiązującymi przepisami. Podczas sporządzania analizy finansowej należy wziąć pod uwagę te z ww. założeń, które mają swoje uzasadnienie w kontekście specyfiki projektu, sektora itp., a także inne, które </w:t>
      </w:r>
      <w:r w:rsidR="0056489E">
        <w:rPr>
          <w:rFonts w:ascii="Calibri" w:hAnsi="Calibri" w:cs="Arial"/>
          <w:color w:val="000000"/>
          <w:szCs w:val="24"/>
        </w:rPr>
        <w:br/>
      </w:r>
      <w:r w:rsidRPr="00BF29AE">
        <w:rPr>
          <w:rFonts w:ascii="Calibri" w:hAnsi="Calibri" w:cs="Arial"/>
          <w:color w:val="000000"/>
          <w:szCs w:val="24"/>
        </w:rPr>
        <w:t>z punktu widzenia beneficjenta/operatora i projektu są istotne do uwzględnienia przy sporządzaniu analizy. W przypadku gdy znane są już rzeczywiste wartości danych makroekonomicznych dla lat będących przedmiotem analizy, należy je wykorzystać zamiast danych pochodzących ze scenariuszy</w:t>
      </w:r>
    </w:p>
    <w:p w14:paraId="459EBA52" w14:textId="77777777" w:rsidR="00C2071D" w:rsidRPr="004B77D6" w:rsidRDefault="00C2071D" w:rsidP="0089006E">
      <w:pPr>
        <w:numPr>
          <w:ilvl w:val="0"/>
          <w:numId w:val="23"/>
        </w:numPr>
        <w:tabs>
          <w:tab w:val="num" w:pos="540"/>
        </w:tabs>
        <w:spacing w:before="120" w:after="120" w:line="276" w:lineRule="auto"/>
        <w:ind w:left="351" w:hanging="357"/>
        <w:rPr>
          <w:rFonts w:ascii="Calibri" w:hAnsi="Calibri" w:cs="Arial"/>
          <w:color w:val="000000"/>
          <w:szCs w:val="24"/>
        </w:rPr>
      </w:pPr>
      <w:r w:rsidRPr="004B77D6">
        <w:rPr>
          <w:rFonts w:ascii="Calibri" w:hAnsi="Calibri" w:cs="Arial"/>
          <w:color w:val="000000"/>
          <w:szCs w:val="24"/>
        </w:rPr>
        <w:t>finansowa stopa dyskontowa, jaka powinna zostać przyjęta w analizie finansowej dla inwestycji planowanych do dofinansowania z funduszy UE wynosi:</w:t>
      </w:r>
    </w:p>
    <w:p w14:paraId="755EBAB8" w14:textId="77777777" w:rsidR="00C2071D" w:rsidRPr="004B77D6" w:rsidRDefault="00C2071D" w:rsidP="0089006E">
      <w:pPr>
        <w:numPr>
          <w:ilvl w:val="0"/>
          <w:numId w:val="29"/>
        </w:numPr>
        <w:spacing w:line="276" w:lineRule="auto"/>
        <w:rPr>
          <w:rFonts w:ascii="Calibri" w:hAnsi="Calibri" w:cs="Arial"/>
          <w:color w:val="000000"/>
          <w:szCs w:val="24"/>
        </w:rPr>
      </w:pPr>
      <w:r w:rsidRPr="004B77D6">
        <w:rPr>
          <w:rFonts w:ascii="Calibri" w:hAnsi="Calibri" w:cs="Arial"/>
          <w:color w:val="000000"/>
          <w:szCs w:val="24"/>
        </w:rPr>
        <w:t>4% dla analizy prowadzonej w cenach stałych,</w:t>
      </w:r>
    </w:p>
    <w:p w14:paraId="4E2E2A5E" w14:textId="119E7480" w:rsidR="00C2071D" w:rsidRPr="004B77D6" w:rsidRDefault="0056489E" w:rsidP="0089006E">
      <w:pPr>
        <w:numPr>
          <w:ilvl w:val="0"/>
          <w:numId w:val="29"/>
        </w:numPr>
        <w:spacing w:line="276" w:lineRule="auto"/>
        <w:rPr>
          <w:rFonts w:ascii="Calibri" w:hAnsi="Calibri" w:cs="Arial"/>
          <w:color w:val="000000"/>
          <w:szCs w:val="24"/>
        </w:rPr>
      </w:pPr>
      <w:r>
        <w:rPr>
          <w:rFonts w:ascii="Calibri" w:hAnsi="Calibri" w:cs="Arial"/>
          <w:color w:val="000000"/>
          <w:szCs w:val="24"/>
        </w:rPr>
        <w:t>9</w:t>
      </w:r>
      <w:r w:rsidR="00C2071D" w:rsidRPr="004B77D6">
        <w:rPr>
          <w:rFonts w:ascii="Calibri" w:hAnsi="Calibri" w:cs="Arial"/>
          <w:color w:val="000000"/>
          <w:szCs w:val="24"/>
        </w:rPr>
        <w:t>% dla analizy prowadzonej w cenach bieżących – wartość określona w uproszczeniu, zgodnie ze wzorem:</w:t>
      </w:r>
    </w:p>
    <w:p w14:paraId="5C1C25FF" w14:textId="77777777" w:rsidR="00C2071D" w:rsidRPr="004B77D6" w:rsidRDefault="00C2071D" w:rsidP="00C2071D">
      <w:pPr>
        <w:spacing w:line="276" w:lineRule="auto"/>
        <w:ind w:left="1125"/>
        <w:rPr>
          <w:rFonts w:ascii="Calibri" w:hAnsi="Calibri" w:cs="Arial"/>
          <w:color w:val="000000"/>
          <w:szCs w:val="24"/>
        </w:rPr>
      </w:pPr>
    </w:p>
    <w:p w14:paraId="3EEA9D46" w14:textId="77777777" w:rsidR="00C2071D" w:rsidRPr="004B77D6" w:rsidRDefault="00C2071D" w:rsidP="00C2071D">
      <w:pPr>
        <w:spacing w:line="276" w:lineRule="auto"/>
        <w:ind w:left="3252" w:firstLine="293"/>
        <w:rPr>
          <w:rFonts w:ascii="Calibri" w:hAnsi="Calibri" w:cs="Arial"/>
          <w:color w:val="000000"/>
          <w:szCs w:val="24"/>
        </w:rPr>
      </w:pPr>
      <w:r w:rsidRPr="004B77D6">
        <w:rPr>
          <w:rFonts w:ascii="Calibri" w:hAnsi="Calibri" w:cs="Arial"/>
          <w:color w:val="000000"/>
          <w:szCs w:val="24"/>
        </w:rPr>
        <w:t xml:space="preserve">(1+n)=(1+r)*(1+i) </w:t>
      </w:r>
    </w:p>
    <w:p w14:paraId="49A06703" w14:textId="77777777" w:rsidR="00C2071D" w:rsidRPr="004B77D6" w:rsidRDefault="00C2071D" w:rsidP="00C2071D">
      <w:pPr>
        <w:spacing w:line="276" w:lineRule="auto"/>
        <w:ind w:left="1125"/>
        <w:rPr>
          <w:rFonts w:ascii="Calibri" w:hAnsi="Calibri" w:cs="Arial"/>
          <w:color w:val="000000"/>
          <w:szCs w:val="24"/>
        </w:rPr>
      </w:pPr>
    </w:p>
    <w:p w14:paraId="299CBD1A" w14:textId="77777777" w:rsidR="00C2071D" w:rsidRPr="004B77D6" w:rsidRDefault="00C2071D" w:rsidP="00C2071D">
      <w:pPr>
        <w:spacing w:line="276" w:lineRule="auto"/>
        <w:ind w:left="1125"/>
        <w:rPr>
          <w:rFonts w:ascii="Calibri" w:hAnsi="Calibri" w:cs="Arial"/>
          <w:color w:val="000000"/>
          <w:szCs w:val="24"/>
        </w:rPr>
      </w:pPr>
      <w:r w:rsidRPr="004B77D6">
        <w:rPr>
          <w:rFonts w:ascii="Calibri" w:hAnsi="Calibri" w:cs="Arial"/>
          <w:color w:val="000000"/>
          <w:szCs w:val="24"/>
        </w:rPr>
        <w:t>gdzie:</w:t>
      </w:r>
    </w:p>
    <w:p w14:paraId="7D0F4E35" w14:textId="77777777" w:rsidR="00C2071D" w:rsidRPr="004B77D6" w:rsidRDefault="00C2071D" w:rsidP="00C2071D">
      <w:pPr>
        <w:spacing w:line="276" w:lineRule="auto"/>
        <w:ind w:left="1125"/>
        <w:rPr>
          <w:rFonts w:ascii="Calibri" w:hAnsi="Calibri" w:cs="Arial"/>
          <w:color w:val="000000"/>
          <w:szCs w:val="24"/>
        </w:rPr>
      </w:pPr>
      <w:r w:rsidRPr="004B77D6">
        <w:rPr>
          <w:rFonts w:ascii="Calibri" w:hAnsi="Calibri" w:cs="Arial"/>
          <w:i/>
          <w:color w:val="000000"/>
          <w:szCs w:val="24"/>
        </w:rPr>
        <w:t>n</w:t>
      </w:r>
      <w:r w:rsidRPr="004B77D6">
        <w:rPr>
          <w:rFonts w:ascii="Calibri" w:hAnsi="Calibri" w:cs="Arial"/>
          <w:color w:val="000000"/>
          <w:szCs w:val="24"/>
        </w:rPr>
        <w:t xml:space="preserve"> – stopa dyskontowa dla cen bieżących,</w:t>
      </w:r>
    </w:p>
    <w:p w14:paraId="4F383732" w14:textId="77777777" w:rsidR="00C2071D" w:rsidRPr="004B77D6" w:rsidRDefault="00C2071D" w:rsidP="00C2071D">
      <w:pPr>
        <w:spacing w:line="276" w:lineRule="auto"/>
        <w:ind w:left="1125"/>
        <w:rPr>
          <w:rFonts w:ascii="Calibri" w:hAnsi="Calibri" w:cs="Arial"/>
          <w:color w:val="000000"/>
          <w:szCs w:val="24"/>
        </w:rPr>
      </w:pPr>
      <w:r w:rsidRPr="004B77D6">
        <w:rPr>
          <w:rFonts w:ascii="Calibri" w:hAnsi="Calibri" w:cs="Arial"/>
          <w:i/>
          <w:color w:val="000000"/>
          <w:szCs w:val="24"/>
        </w:rPr>
        <w:t xml:space="preserve">r </w:t>
      </w:r>
      <w:r w:rsidRPr="004B77D6">
        <w:rPr>
          <w:rFonts w:ascii="Calibri" w:hAnsi="Calibri" w:cs="Arial"/>
          <w:color w:val="000000"/>
          <w:szCs w:val="24"/>
        </w:rPr>
        <w:t>– stopa dyskontowa dla cen stałych,</w:t>
      </w:r>
    </w:p>
    <w:p w14:paraId="35670635" w14:textId="14AF9159" w:rsidR="00C2071D" w:rsidRDefault="00C2071D" w:rsidP="00C2071D">
      <w:pPr>
        <w:spacing w:line="276" w:lineRule="auto"/>
        <w:ind w:left="1125"/>
        <w:rPr>
          <w:rFonts w:ascii="Calibri" w:hAnsi="Calibri" w:cs="Arial"/>
          <w:color w:val="000000"/>
          <w:szCs w:val="24"/>
        </w:rPr>
      </w:pPr>
      <w:r w:rsidRPr="004B77D6">
        <w:rPr>
          <w:rFonts w:ascii="Calibri" w:hAnsi="Calibri" w:cs="Arial"/>
          <w:i/>
          <w:color w:val="000000"/>
          <w:szCs w:val="24"/>
        </w:rPr>
        <w:t xml:space="preserve">i </w:t>
      </w:r>
      <w:r w:rsidRPr="004B77D6">
        <w:rPr>
          <w:rFonts w:ascii="Calibri" w:hAnsi="Calibri" w:cs="Arial"/>
          <w:color w:val="000000"/>
          <w:szCs w:val="24"/>
        </w:rPr>
        <w:t xml:space="preserve">– </w:t>
      </w:r>
      <w:r w:rsidR="0056489E" w:rsidRPr="0056489E">
        <w:rPr>
          <w:rFonts w:ascii="Calibri" w:hAnsi="Calibri" w:cs="Arial"/>
          <w:color w:val="000000"/>
          <w:szCs w:val="24"/>
        </w:rPr>
        <w:t>wskaźnik inflacji, na podstawie danych z wytycznych Ministra Finansów z dnia 3 października 2022 r. dotyczących stosowania jednolitych wskaźników makroekonomicznych będących podstawą oszacowania skutków finansowych projektowanych ustaw, zgodnie z którymi średni wskaźnik inflacji w okresie 2022- 2026 będzie się kształtował na poziomie 6,74%, a w okresie 2026-2029 - na poziomie 2,5%.</w:t>
      </w:r>
    </w:p>
    <w:p w14:paraId="2E67D30F" w14:textId="77777777" w:rsidR="0056489E" w:rsidRPr="004B77D6" w:rsidRDefault="0056489E" w:rsidP="00C2071D">
      <w:pPr>
        <w:spacing w:line="276" w:lineRule="auto"/>
        <w:ind w:left="1125"/>
        <w:rPr>
          <w:rFonts w:ascii="Calibri" w:hAnsi="Calibri" w:cs="Arial"/>
          <w:color w:val="000000"/>
          <w:szCs w:val="24"/>
        </w:rPr>
      </w:pPr>
    </w:p>
    <w:p w14:paraId="7B68C98C" w14:textId="1364D6BB" w:rsidR="00C2071D" w:rsidRPr="004B77D6" w:rsidRDefault="00C2071D" w:rsidP="0089006E">
      <w:pPr>
        <w:numPr>
          <w:ilvl w:val="0"/>
          <w:numId w:val="23"/>
        </w:numPr>
        <w:tabs>
          <w:tab w:val="num" w:pos="540"/>
        </w:tabs>
        <w:spacing w:before="120" w:after="120" w:line="276" w:lineRule="auto"/>
        <w:ind w:left="360"/>
        <w:rPr>
          <w:rFonts w:ascii="Calibri" w:hAnsi="Calibri"/>
          <w:szCs w:val="24"/>
        </w:rPr>
      </w:pPr>
      <w:r w:rsidRPr="004B77D6">
        <w:rPr>
          <w:rFonts w:ascii="Calibri" w:hAnsi="Calibri"/>
          <w:szCs w:val="24"/>
        </w:rPr>
        <w:t xml:space="preserve">horyzont czasowy </w:t>
      </w:r>
      <w:r w:rsidR="0056489E">
        <w:rPr>
          <w:rFonts w:ascii="Calibri" w:hAnsi="Calibri"/>
          <w:szCs w:val="24"/>
        </w:rPr>
        <w:t xml:space="preserve">- </w:t>
      </w:r>
      <w:r w:rsidR="0056489E" w:rsidRPr="0056489E">
        <w:rPr>
          <w:rFonts w:ascii="Calibri" w:hAnsi="Calibri"/>
          <w:szCs w:val="24"/>
        </w:rPr>
        <w:t>okres odniesienia, jaki należy przyjąć w analizie finansowej</w:t>
      </w:r>
      <w:r w:rsidR="0056489E">
        <w:rPr>
          <w:rFonts w:ascii="Calibri" w:hAnsi="Calibri"/>
          <w:szCs w:val="24"/>
        </w:rPr>
        <w:t>.</w:t>
      </w:r>
      <w:r w:rsidR="0056489E" w:rsidRPr="0056489E">
        <w:rPr>
          <w:rFonts w:ascii="Calibri" w:hAnsi="Calibri"/>
          <w:szCs w:val="24"/>
        </w:rPr>
        <w:t xml:space="preserve"> </w:t>
      </w:r>
    </w:p>
    <w:p w14:paraId="41F57108" w14:textId="3059EE3B" w:rsidR="00C2071D" w:rsidRPr="004B77D6" w:rsidRDefault="00C2071D" w:rsidP="0056489E">
      <w:pPr>
        <w:spacing w:before="120" w:after="120" w:line="276" w:lineRule="auto"/>
        <w:rPr>
          <w:rFonts w:ascii="Calibri" w:hAnsi="Calibri"/>
          <w:szCs w:val="24"/>
        </w:rPr>
      </w:pPr>
      <w:r w:rsidRPr="004B77D6">
        <w:rPr>
          <w:rFonts w:ascii="Calibri" w:hAnsi="Calibri"/>
          <w:szCs w:val="24"/>
        </w:rPr>
        <w:t xml:space="preserve">W przypadku projektu, który łączy ze sobą zadania inwestycyjne z co najmniej dwóch sektorów, należy dokonać wyboru wymiaru okresu odniesienia posługując się przedziałem właściwym dla sektora dominującego. Określenie sektora dominującego w ramach projektu </w:t>
      </w:r>
      <w:r w:rsidRPr="004B77D6">
        <w:rPr>
          <w:rFonts w:ascii="Calibri" w:hAnsi="Calibri"/>
          <w:szCs w:val="24"/>
        </w:rPr>
        <w:lastRenderedPageBreak/>
        <w:t>należy przeprowadzić w oparciu o cele działania lub naboru albo poprzez porównanie wysokość nakładów inwestycyjnych przypadających na poszczególne zadania inwestycyjne.</w:t>
      </w:r>
    </w:p>
    <w:p w14:paraId="7FFE06EF" w14:textId="36640CA1" w:rsidR="00C2071D" w:rsidRDefault="00C2071D" w:rsidP="00C260E9">
      <w:pPr>
        <w:autoSpaceDE w:val="0"/>
        <w:autoSpaceDN w:val="0"/>
        <w:ind w:firstLine="360"/>
        <w:jc w:val="both"/>
        <w:rPr>
          <w:rFonts w:ascii="Calibri" w:hAnsi="Calibri"/>
          <w:b/>
        </w:rPr>
      </w:pPr>
      <w:r w:rsidRPr="004B77D6">
        <w:rPr>
          <w:rFonts w:ascii="Calibri" w:hAnsi="Calibri"/>
          <w:b/>
        </w:rPr>
        <w:t xml:space="preserve">Do analizy projektów składanych w ramach </w:t>
      </w:r>
      <w:r w:rsidRPr="0056489E">
        <w:rPr>
          <w:rFonts w:ascii="Calibri" w:hAnsi="Calibri"/>
          <w:b/>
        </w:rPr>
        <w:t xml:space="preserve">działania </w:t>
      </w:r>
      <w:r w:rsidR="00187F1C" w:rsidRPr="00187F1C">
        <w:rPr>
          <w:rFonts w:ascii="Calibri" w:hAnsi="Calibri"/>
          <w:b/>
        </w:rPr>
        <w:t xml:space="preserve">2.3 Zapobieganie zagrożeniom </w:t>
      </w:r>
      <w:r w:rsidR="00187F1C">
        <w:rPr>
          <w:rFonts w:ascii="Calibri" w:hAnsi="Calibri"/>
          <w:b/>
        </w:rPr>
        <w:t>z</w:t>
      </w:r>
      <w:r w:rsidR="00187F1C" w:rsidRPr="00187F1C">
        <w:rPr>
          <w:rFonts w:ascii="Calibri" w:hAnsi="Calibri"/>
          <w:b/>
        </w:rPr>
        <w:t xml:space="preserve">wiązanym ze zmianą klimatu FEO 2021 – 2027 </w:t>
      </w:r>
      <w:r w:rsidRPr="004B77D6">
        <w:rPr>
          <w:rFonts w:ascii="Calibri" w:hAnsi="Calibri"/>
          <w:b/>
        </w:rPr>
        <w:t xml:space="preserve">należy przyjąć </w:t>
      </w:r>
      <w:r w:rsidR="007A3885">
        <w:rPr>
          <w:rFonts w:ascii="Calibri" w:hAnsi="Calibri"/>
          <w:b/>
        </w:rPr>
        <w:t>1</w:t>
      </w:r>
      <w:r w:rsidR="00DA68B2">
        <w:rPr>
          <w:rFonts w:ascii="Calibri" w:hAnsi="Calibri"/>
          <w:b/>
        </w:rPr>
        <w:t xml:space="preserve">5 </w:t>
      </w:r>
      <w:r w:rsidRPr="004B77D6">
        <w:rPr>
          <w:rFonts w:ascii="Calibri" w:hAnsi="Calibri"/>
          <w:b/>
        </w:rPr>
        <w:t>letni okres referencyjny.</w:t>
      </w:r>
    </w:p>
    <w:p w14:paraId="72515FB1" w14:textId="77777777" w:rsidR="00C260E9" w:rsidRPr="004B77D6" w:rsidRDefault="00C260E9" w:rsidP="00196CDC">
      <w:pPr>
        <w:autoSpaceDE w:val="0"/>
        <w:autoSpaceDN w:val="0"/>
        <w:ind w:firstLine="360"/>
        <w:jc w:val="both"/>
        <w:rPr>
          <w:rFonts w:ascii="Calibri" w:hAnsi="Calibri"/>
          <w:b/>
        </w:rPr>
      </w:pPr>
    </w:p>
    <w:p w14:paraId="4F5D0685" w14:textId="563DD9AF" w:rsidR="00C2071D" w:rsidRPr="004B77D6" w:rsidRDefault="007F3242" w:rsidP="0089006E">
      <w:pPr>
        <w:numPr>
          <w:ilvl w:val="0"/>
          <w:numId w:val="23"/>
        </w:numPr>
        <w:tabs>
          <w:tab w:val="num" w:pos="540"/>
        </w:tabs>
        <w:spacing w:before="120" w:after="120" w:line="276" w:lineRule="auto"/>
        <w:ind w:left="360"/>
        <w:rPr>
          <w:rFonts w:ascii="Calibri" w:hAnsi="Calibri"/>
          <w:szCs w:val="24"/>
        </w:rPr>
      </w:pPr>
      <w:r>
        <w:rPr>
          <w:rFonts w:ascii="Calibri" w:hAnsi="Calibri"/>
          <w:szCs w:val="24"/>
        </w:rPr>
        <w:t>amortyzacja</w:t>
      </w:r>
      <w:r w:rsidR="00C2071D" w:rsidRPr="004B77D6">
        <w:rPr>
          <w:rFonts w:ascii="Calibri" w:hAnsi="Calibri"/>
          <w:szCs w:val="24"/>
        </w:rPr>
        <w:t xml:space="preserve"> – </w:t>
      </w:r>
      <w:r w:rsidR="0056489E" w:rsidRPr="0056489E">
        <w:rPr>
          <w:rFonts w:ascii="Calibri" w:hAnsi="Calibri"/>
          <w:szCs w:val="24"/>
        </w:rPr>
        <w:t>metoda oraz okres amortyzacji dla każdego typu aktywa muszą być zgodne z polityką rachunkowości beneficjenta/operatora. Amortyzacja, ze względu na fakt, iż nie stanowi faktycznego przepływu pieniężnego, nie jest uwzględniana w kosztach operacyjnych w ramach analizy finansowej.</w:t>
      </w:r>
    </w:p>
    <w:p w14:paraId="3ECFF45C" w14:textId="77777777" w:rsidR="00C2071D" w:rsidRPr="004B77D6" w:rsidRDefault="00C2071D" w:rsidP="0089006E">
      <w:pPr>
        <w:numPr>
          <w:ilvl w:val="0"/>
          <w:numId w:val="23"/>
        </w:numPr>
        <w:tabs>
          <w:tab w:val="num" w:pos="540"/>
        </w:tabs>
        <w:spacing w:before="120" w:after="120" w:line="276" w:lineRule="auto"/>
        <w:ind w:left="360"/>
        <w:rPr>
          <w:rFonts w:ascii="Calibri" w:hAnsi="Calibri"/>
          <w:szCs w:val="24"/>
        </w:rPr>
      </w:pPr>
      <w:r w:rsidRPr="004B77D6">
        <w:rPr>
          <w:rFonts w:ascii="Calibri" w:hAnsi="Calibri"/>
          <w:szCs w:val="24"/>
        </w:rPr>
        <w:t xml:space="preserve">wartość dofinansowania projektu z funduszy UE może zostać uwzględniona wyłącznie w ramach analizy trwałości projektu. </w:t>
      </w:r>
    </w:p>
    <w:p w14:paraId="4ADE314E" w14:textId="77777777" w:rsidR="00C2071D" w:rsidRPr="004B77D6" w:rsidRDefault="00C2071D" w:rsidP="00C2071D">
      <w:pPr>
        <w:pStyle w:val="Tekstpodstawowy22"/>
        <w:numPr>
          <w:ilvl w:val="3"/>
          <w:numId w:val="7"/>
        </w:numPr>
        <w:spacing w:before="240" w:after="120" w:line="276" w:lineRule="auto"/>
        <w:ind w:left="1440" w:hanging="720"/>
        <w:jc w:val="left"/>
        <w:rPr>
          <w:rFonts w:ascii="Calibri" w:hAnsi="Calibri"/>
          <w:b/>
          <w:szCs w:val="24"/>
        </w:rPr>
      </w:pPr>
      <w:r w:rsidRPr="004B77D6">
        <w:rPr>
          <w:rFonts w:ascii="Calibri" w:hAnsi="Calibri"/>
          <w:b/>
          <w:szCs w:val="24"/>
        </w:rPr>
        <w:t>Metody analizy finansowej uwzględniające kategorię inwestycji.</w:t>
      </w:r>
    </w:p>
    <w:p w14:paraId="49166CE7" w14:textId="77777777" w:rsidR="00C2071D" w:rsidRPr="004B77D6" w:rsidRDefault="00C2071D" w:rsidP="0089006E">
      <w:pPr>
        <w:numPr>
          <w:ilvl w:val="0"/>
          <w:numId w:val="34"/>
        </w:numPr>
        <w:suppressAutoHyphens w:val="0"/>
        <w:spacing w:after="120" w:line="276" w:lineRule="auto"/>
        <w:rPr>
          <w:rFonts w:ascii="Calibri" w:hAnsi="Calibri" w:cs="Arial"/>
          <w:bCs/>
          <w:szCs w:val="24"/>
        </w:rPr>
      </w:pPr>
      <w:r w:rsidRPr="004B77D6">
        <w:rPr>
          <w:rFonts w:ascii="Calibri" w:hAnsi="Calibri" w:cs="Arial"/>
          <w:bCs/>
          <w:szCs w:val="24"/>
        </w:rPr>
        <w:t xml:space="preserve"> </w:t>
      </w:r>
      <w:r w:rsidRPr="004B77D6">
        <w:rPr>
          <w:rFonts w:ascii="Calibri" w:hAnsi="Calibri"/>
          <w:szCs w:val="24"/>
        </w:rPr>
        <w:t>Odpowiednią metodę analizy finansowej dobiera się również, w zależności od kategorii inwestycji (</w:t>
      </w:r>
      <w:r w:rsidRPr="004B77D6">
        <w:rPr>
          <w:rFonts w:ascii="Calibri" w:hAnsi="Calibri"/>
          <w:i/>
          <w:szCs w:val="24"/>
        </w:rPr>
        <w:t>Wytyczne w zakresie zagadnień związanych z przygotowaniem projektów inwestycyjnych, w tym projektów generujących dochód i projektów hybrydowych na lata 2014-2020</w:t>
      </w:r>
      <w:r w:rsidRPr="004B77D6">
        <w:rPr>
          <w:rFonts w:ascii="Calibri" w:hAnsi="Calibri"/>
          <w:szCs w:val="24"/>
        </w:rPr>
        <w:t>).</w:t>
      </w:r>
      <w:r w:rsidRPr="004B77D6">
        <w:rPr>
          <w:rFonts w:ascii="Calibri" w:hAnsi="Calibri" w:cs="Arial"/>
          <w:bCs/>
          <w:szCs w:val="24"/>
        </w:rPr>
        <w:t xml:space="preserve"> Wyróżnia się dwie kategorie inwestycji, które są przedmiotem różnych metod analizy finansowej. Kwalifikacji inwestycji do danej kategorii dokonuje się na podstawie odpowiedzi uzyskanych na następujące pytania: </w:t>
      </w:r>
    </w:p>
    <w:p w14:paraId="7C5CC583" w14:textId="77777777" w:rsidR="00C2071D" w:rsidRPr="004B77D6" w:rsidRDefault="00C2071D" w:rsidP="0089006E">
      <w:pPr>
        <w:numPr>
          <w:ilvl w:val="1"/>
          <w:numId w:val="34"/>
        </w:numPr>
        <w:suppressAutoHyphens w:val="0"/>
        <w:spacing w:after="120" w:line="276" w:lineRule="auto"/>
        <w:rPr>
          <w:rFonts w:ascii="Calibri" w:hAnsi="Calibri" w:cs="Arial"/>
          <w:bCs/>
          <w:i/>
          <w:szCs w:val="24"/>
        </w:rPr>
      </w:pPr>
      <w:r w:rsidRPr="004B77D6">
        <w:rPr>
          <w:rFonts w:ascii="Calibri" w:hAnsi="Calibri" w:cs="Arial"/>
          <w:bCs/>
          <w:i/>
          <w:szCs w:val="24"/>
        </w:rPr>
        <w:t>Czy możliwe jest oddzielenie strumienia przychodów projektu od ogólnego strumienia przychodów beneficjenta?</w:t>
      </w:r>
    </w:p>
    <w:p w14:paraId="0E122C80" w14:textId="77777777" w:rsidR="00C2071D" w:rsidRPr="004B77D6" w:rsidRDefault="00C2071D" w:rsidP="0089006E">
      <w:pPr>
        <w:numPr>
          <w:ilvl w:val="1"/>
          <w:numId w:val="34"/>
        </w:numPr>
        <w:suppressAutoHyphens w:val="0"/>
        <w:spacing w:after="120" w:line="276" w:lineRule="auto"/>
        <w:rPr>
          <w:rFonts w:ascii="Calibri" w:hAnsi="Calibri" w:cs="Arial"/>
          <w:bCs/>
          <w:i/>
          <w:szCs w:val="24"/>
        </w:rPr>
      </w:pPr>
      <w:r w:rsidRPr="004B77D6">
        <w:rPr>
          <w:rFonts w:ascii="Calibri" w:hAnsi="Calibri" w:cs="Arial"/>
          <w:bCs/>
          <w:i/>
          <w:szCs w:val="24"/>
        </w:rPr>
        <w:t xml:space="preserve">Czy możliwe jest oddzielenie strumienia kosztów operacyjnych i nakładów inwestycyjnych na realizację projektu od ogólnego strumienia kosztów operacyjnych </w:t>
      </w:r>
      <w:r w:rsidRPr="004B77D6">
        <w:rPr>
          <w:rFonts w:ascii="Calibri" w:hAnsi="Calibri" w:cs="Arial"/>
          <w:bCs/>
          <w:i/>
          <w:szCs w:val="24"/>
        </w:rPr>
        <w:br/>
        <w:t>i nakładów inwestycyjnych beneficjenta?</w:t>
      </w:r>
    </w:p>
    <w:p w14:paraId="53AAB66C" w14:textId="77777777" w:rsidR="00C260E9" w:rsidRDefault="00C2071D" w:rsidP="0089006E">
      <w:pPr>
        <w:numPr>
          <w:ilvl w:val="0"/>
          <w:numId w:val="34"/>
        </w:numPr>
        <w:suppressAutoHyphens w:val="0"/>
        <w:spacing w:after="120" w:line="276" w:lineRule="auto"/>
        <w:rPr>
          <w:rFonts w:ascii="Calibri" w:hAnsi="Calibri" w:cs="Arial"/>
          <w:bCs/>
          <w:szCs w:val="24"/>
        </w:rPr>
      </w:pPr>
      <w:r w:rsidRPr="004B77D6">
        <w:rPr>
          <w:rFonts w:ascii="Calibri" w:hAnsi="Calibri" w:cs="Arial"/>
          <w:b/>
          <w:bCs/>
          <w:szCs w:val="24"/>
        </w:rPr>
        <w:t>Kategoria 1</w:t>
      </w:r>
      <w:r w:rsidRPr="004B77D6">
        <w:rPr>
          <w:rFonts w:ascii="Calibri" w:hAnsi="Calibri" w:cs="Arial"/>
          <w:bCs/>
          <w:szCs w:val="24"/>
        </w:rPr>
        <w:t xml:space="preserve"> dotyczy inwestycji, dla których możliwe jest oddzielenie przepływów pieniężnych związanych z projektem od ogólnych przepływów pieniężnych beneficjenta. </w:t>
      </w:r>
    </w:p>
    <w:p w14:paraId="6A41F25B" w14:textId="148BD658" w:rsidR="00C2071D" w:rsidRPr="004B77D6" w:rsidRDefault="00C2071D" w:rsidP="00196CDC">
      <w:pPr>
        <w:suppressAutoHyphens w:val="0"/>
        <w:spacing w:after="120" w:line="276" w:lineRule="auto"/>
        <w:ind w:left="360"/>
        <w:rPr>
          <w:rFonts w:ascii="Calibri" w:hAnsi="Calibri" w:cs="Arial"/>
          <w:bCs/>
          <w:szCs w:val="24"/>
        </w:rPr>
      </w:pPr>
      <w:r w:rsidRPr="004B77D6">
        <w:rPr>
          <w:rFonts w:ascii="Calibri" w:hAnsi="Calibri" w:cs="Arial"/>
          <w:bCs/>
          <w:szCs w:val="24"/>
        </w:rPr>
        <w:t xml:space="preserve">Ma ona miejsce wówczas, jeśli na oba wyżej wymienione pytania zostały udzielone </w:t>
      </w:r>
      <w:r w:rsidRPr="004B77D6">
        <w:rPr>
          <w:rFonts w:ascii="Calibri" w:hAnsi="Calibri" w:cs="Arial"/>
          <w:b/>
          <w:bCs/>
          <w:szCs w:val="24"/>
        </w:rPr>
        <w:t>pozytywne</w:t>
      </w:r>
      <w:r w:rsidRPr="004B77D6">
        <w:rPr>
          <w:rFonts w:ascii="Calibri" w:hAnsi="Calibri" w:cs="Arial"/>
          <w:bCs/>
          <w:szCs w:val="24"/>
        </w:rPr>
        <w:t xml:space="preserve"> </w:t>
      </w:r>
      <w:r w:rsidRPr="004B77D6">
        <w:rPr>
          <w:rFonts w:ascii="Calibri" w:hAnsi="Calibri" w:cs="Arial"/>
          <w:b/>
          <w:bCs/>
          <w:szCs w:val="24"/>
        </w:rPr>
        <w:t>odpowiedzi</w:t>
      </w:r>
      <w:r w:rsidRPr="004B77D6">
        <w:rPr>
          <w:rFonts w:ascii="Calibri" w:hAnsi="Calibri" w:cs="Arial"/>
          <w:bCs/>
          <w:szCs w:val="24"/>
        </w:rPr>
        <w:t xml:space="preserve">. W tej sytuacji możliwe jest zastosowanie </w:t>
      </w:r>
      <w:r w:rsidRPr="004B77D6">
        <w:rPr>
          <w:rFonts w:ascii="Calibri" w:hAnsi="Calibri" w:cs="Arial"/>
          <w:b/>
          <w:bCs/>
          <w:szCs w:val="24"/>
        </w:rPr>
        <w:t>metody standardowej</w:t>
      </w:r>
      <w:r w:rsidRPr="004B77D6">
        <w:rPr>
          <w:rFonts w:ascii="Calibri" w:hAnsi="Calibri" w:cs="Arial"/>
          <w:bCs/>
          <w:szCs w:val="24"/>
        </w:rPr>
        <w:t>, polegającej na uwzględnieniu w analizie jedynie przepływów pieniężnych w ramach projektu UE</w:t>
      </w:r>
      <w:r w:rsidRPr="004B77D6">
        <w:rPr>
          <w:rFonts w:ascii="Calibri" w:hAnsi="Calibri" w:cs="Arial"/>
          <w:b/>
          <w:bCs/>
          <w:szCs w:val="24"/>
        </w:rPr>
        <w:t xml:space="preserve">. </w:t>
      </w:r>
    </w:p>
    <w:p w14:paraId="7EFB6E50" w14:textId="77777777" w:rsidR="00C2071D" w:rsidRPr="004B77D6" w:rsidRDefault="00C2071D" w:rsidP="0089006E">
      <w:pPr>
        <w:numPr>
          <w:ilvl w:val="0"/>
          <w:numId w:val="36"/>
        </w:numPr>
        <w:suppressAutoHyphens w:val="0"/>
        <w:spacing w:after="120" w:line="276" w:lineRule="auto"/>
        <w:rPr>
          <w:rFonts w:ascii="Calibri" w:hAnsi="Calibri" w:cs="Arial"/>
          <w:bCs/>
          <w:szCs w:val="24"/>
        </w:rPr>
      </w:pPr>
      <w:r w:rsidRPr="004B77D6">
        <w:rPr>
          <w:rFonts w:ascii="Calibri" w:hAnsi="Calibri" w:cs="Arial"/>
          <w:bCs/>
          <w:szCs w:val="24"/>
        </w:rPr>
        <w:t xml:space="preserve">Analiza finansowa przeprowadzona w oparciu o </w:t>
      </w:r>
      <w:r w:rsidRPr="004B77D6">
        <w:rPr>
          <w:rFonts w:ascii="Calibri" w:hAnsi="Calibri" w:cs="Arial"/>
          <w:b/>
          <w:bCs/>
          <w:szCs w:val="24"/>
        </w:rPr>
        <w:t xml:space="preserve">metodę standardową </w:t>
      </w:r>
      <w:r w:rsidRPr="004B77D6">
        <w:rPr>
          <w:rFonts w:ascii="Calibri" w:hAnsi="Calibri" w:cs="Arial"/>
          <w:bCs/>
          <w:szCs w:val="24"/>
        </w:rPr>
        <w:t xml:space="preserve">ma zastosowanie w szczególności do projektów, realizowanych przy założeniu, że środki dłużne przeznaczone na finansowanie realizacji projektu spłacane będą w oparciu o nadwyżkę finansową generowaną w oparciu o działalność prowadzoną w wyniku realizacji projektu, a zabezpieczeniem spłaty tego zadłużenia będzie majątek powstały w wyniku realizacji projektu. </w:t>
      </w:r>
    </w:p>
    <w:p w14:paraId="0EC3EA6D" w14:textId="77777777" w:rsidR="00C2071D" w:rsidRPr="004B77D6" w:rsidRDefault="00C2071D" w:rsidP="00C2071D">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lastRenderedPageBreak/>
        <w:t xml:space="preserve">W metodzie standardowej należy w szczególności określić prognozowane na przestrzeni całego okresu odniesienia: </w:t>
      </w:r>
    </w:p>
    <w:p w14:paraId="0D0518B7" w14:textId="77777777" w:rsidR="00C2071D" w:rsidRPr="004B77D6" w:rsidRDefault="00C2071D" w:rsidP="00C2071D">
      <w:pPr>
        <w:numPr>
          <w:ilvl w:val="1"/>
          <w:numId w:val="1"/>
        </w:numPr>
        <w:suppressAutoHyphens w:val="0"/>
        <w:spacing w:after="120" w:line="276" w:lineRule="auto"/>
        <w:rPr>
          <w:rFonts w:ascii="Calibri" w:hAnsi="Calibri" w:cs="Arial"/>
          <w:bCs/>
          <w:szCs w:val="24"/>
        </w:rPr>
      </w:pPr>
      <w:r w:rsidRPr="004B77D6">
        <w:rPr>
          <w:rFonts w:ascii="Calibri" w:hAnsi="Calibri" w:cs="Arial"/>
          <w:bCs/>
          <w:szCs w:val="24"/>
        </w:rPr>
        <w:t>koszty:</w:t>
      </w:r>
    </w:p>
    <w:p w14:paraId="1791D20A" w14:textId="77777777" w:rsidR="00C2071D" w:rsidRPr="004B77D6" w:rsidRDefault="00C2071D" w:rsidP="0089006E">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nakłady inwestycyjne na realizację projektu współfinansowanego ze środków UE,</w:t>
      </w:r>
    </w:p>
    <w:p w14:paraId="50338DE4" w14:textId="77777777" w:rsidR="00C2071D" w:rsidRPr="004B77D6" w:rsidRDefault="00C2071D" w:rsidP="0089006E">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nakłady odtworzeniowe w ramach ww. projektu, </w:t>
      </w:r>
    </w:p>
    <w:p w14:paraId="64D74FDF" w14:textId="77777777" w:rsidR="00C2071D" w:rsidRPr="004B77D6" w:rsidRDefault="00C2071D" w:rsidP="0089006E">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zmiany w kapitale obrotowym netto w całym okresie odniesienia – fazy inwestycyjnej i operacyjnej(w uzasadnionych przypadkach), </w:t>
      </w:r>
    </w:p>
    <w:p w14:paraId="33201B5E" w14:textId="77777777" w:rsidR="00C2071D" w:rsidRPr="004B77D6" w:rsidRDefault="00C2071D" w:rsidP="0089006E">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 koszty działalności operacyjnej,</w:t>
      </w:r>
    </w:p>
    <w:p w14:paraId="0C4997A8" w14:textId="77777777" w:rsidR="007F3242" w:rsidRDefault="00C2071D" w:rsidP="00C2071D">
      <w:pPr>
        <w:numPr>
          <w:ilvl w:val="1"/>
          <w:numId w:val="1"/>
        </w:numPr>
        <w:suppressAutoHyphens w:val="0"/>
        <w:spacing w:after="120" w:line="276" w:lineRule="auto"/>
        <w:rPr>
          <w:rFonts w:ascii="Calibri" w:hAnsi="Calibri" w:cs="Arial"/>
          <w:bCs/>
          <w:szCs w:val="24"/>
        </w:rPr>
      </w:pPr>
      <w:r w:rsidRPr="004B77D6">
        <w:rPr>
          <w:rFonts w:ascii="Calibri" w:hAnsi="Calibri" w:cs="Arial"/>
          <w:bCs/>
          <w:szCs w:val="24"/>
        </w:rPr>
        <w:t>przychody generowane przez projekt</w:t>
      </w:r>
    </w:p>
    <w:p w14:paraId="71C6BA90" w14:textId="41BE23A3" w:rsidR="00C2071D" w:rsidRPr="004B77D6" w:rsidRDefault="007F3242" w:rsidP="00C2071D">
      <w:pPr>
        <w:numPr>
          <w:ilvl w:val="1"/>
          <w:numId w:val="1"/>
        </w:numPr>
        <w:suppressAutoHyphens w:val="0"/>
        <w:spacing w:after="120" w:line="276" w:lineRule="auto"/>
        <w:rPr>
          <w:rFonts w:ascii="Calibri" w:hAnsi="Calibri" w:cs="Arial"/>
          <w:bCs/>
          <w:szCs w:val="24"/>
        </w:rPr>
      </w:pPr>
      <w:r>
        <w:rPr>
          <w:rFonts w:ascii="Calibri" w:hAnsi="Calibri" w:cs="Arial"/>
          <w:bCs/>
          <w:szCs w:val="24"/>
        </w:rPr>
        <w:t>wartość rezydualną</w:t>
      </w:r>
      <w:r w:rsidR="00C2071D" w:rsidRPr="004B77D6">
        <w:rPr>
          <w:rFonts w:ascii="Calibri" w:hAnsi="Calibri" w:cs="Arial"/>
          <w:bCs/>
          <w:szCs w:val="24"/>
        </w:rPr>
        <w:t>.</w:t>
      </w:r>
    </w:p>
    <w:p w14:paraId="6B69E30B" w14:textId="3669FB22" w:rsidR="00C2071D" w:rsidRPr="004B77D6" w:rsidRDefault="00C2071D" w:rsidP="007F3242">
      <w:pPr>
        <w:suppressAutoHyphens w:val="0"/>
        <w:spacing w:after="120" w:line="276" w:lineRule="auto"/>
        <w:ind w:left="284"/>
        <w:rPr>
          <w:rFonts w:ascii="Calibri" w:hAnsi="Calibri" w:cs="Arial"/>
          <w:bCs/>
          <w:szCs w:val="24"/>
        </w:rPr>
      </w:pPr>
      <w:r w:rsidRPr="004B77D6">
        <w:rPr>
          <w:rFonts w:ascii="Calibri" w:hAnsi="Calibri" w:cs="Arial"/>
          <w:bCs/>
          <w:szCs w:val="24"/>
        </w:rPr>
        <w:t xml:space="preserve"> W razie potrzeby zapoznania się ze szczegółowym opisem dotyczącym metodyki przeprowadzania analizy finansowej, należy odnieść się do </w:t>
      </w:r>
      <w:r w:rsidRPr="004B77D6">
        <w:rPr>
          <w:rFonts w:ascii="Calibri" w:hAnsi="Calibri" w:cs="Arial"/>
          <w:bCs/>
          <w:i/>
          <w:szCs w:val="24"/>
        </w:rPr>
        <w:t>Przewodnika AKK</w:t>
      </w:r>
      <w:r w:rsidRPr="004B77D6">
        <w:rPr>
          <w:rFonts w:ascii="Calibri" w:hAnsi="Calibri" w:cs="Arial"/>
          <w:bCs/>
          <w:szCs w:val="24"/>
        </w:rPr>
        <w:t>.</w:t>
      </w:r>
    </w:p>
    <w:p w14:paraId="58380286" w14:textId="77777777" w:rsidR="00C2071D" w:rsidRPr="004B77D6" w:rsidRDefault="00C2071D" w:rsidP="00C2071D">
      <w:pPr>
        <w:numPr>
          <w:ilvl w:val="0"/>
          <w:numId w:val="1"/>
        </w:numPr>
        <w:suppressAutoHyphens w:val="0"/>
        <w:spacing w:after="120" w:line="276" w:lineRule="auto"/>
        <w:rPr>
          <w:rFonts w:ascii="Calibri" w:hAnsi="Calibri" w:cs="Arial"/>
          <w:bCs/>
          <w:szCs w:val="24"/>
        </w:rPr>
      </w:pPr>
      <w:r w:rsidRPr="004B77D6">
        <w:rPr>
          <w:rFonts w:ascii="Calibri" w:hAnsi="Calibri" w:cs="Arial"/>
          <w:b/>
          <w:bCs/>
          <w:szCs w:val="24"/>
        </w:rPr>
        <w:t>Kategoria 2</w:t>
      </w:r>
      <w:r w:rsidRPr="004B77D6">
        <w:rPr>
          <w:rFonts w:ascii="Calibri" w:hAnsi="Calibri" w:cs="Arial"/>
          <w:bCs/>
          <w:szCs w:val="24"/>
        </w:rPr>
        <w:t xml:space="preserve"> dotyczy inwestycji, dla których niemożliwe jest rozdzielenie przepływów pieniężnych, zarówno osobno dla kategorii przychodów oraz kosztów, jak i dla obydwu kategorii równocześnie. Występuje ona wówczas, jeśli odpowiedź przynajmniej na jedno z pytań wymienionych w pkt 1 </w:t>
      </w:r>
      <w:r w:rsidRPr="004B77D6">
        <w:rPr>
          <w:rFonts w:ascii="Calibri" w:hAnsi="Calibri" w:cs="Arial"/>
          <w:b/>
          <w:bCs/>
          <w:szCs w:val="24"/>
        </w:rPr>
        <w:t>jest negatywna</w:t>
      </w:r>
      <w:r w:rsidRPr="004B77D6">
        <w:rPr>
          <w:rFonts w:ascii="Calibri" w:hAnsi="Calibri" w:cs="Arial"/>
          <w:bCs/>
          <w:szCs w:val="24"/>
        </w:rPr>
        <w:t xml:space="preserve">. W tym przypadku niemożliwe jest zastosowanie metody standardowej, w związku z czym analiza finansowa przeprowadzana jest </w:t>
      </w:r>
      <w:r w:rsidRPr="004B77D6">
        <w:rPr>
          <w:rFonts w:ascii="Calibri" w:hAnsi="Calibri" w:cs="Arial"/>
          <w:b/>
          <w:bCs/>
          <w:szCs w:val="24"/>
        </w:rPr>
        <w:t>metodą złożoną</w:t>
      </w:r>
      <w:r w:rsidRPr="004B77D6">
        <w:rPr>
          <w:rFonts w:ascii="Calibri" w:hAnsi="Calibri" w:cs="Arial"/>
          <w:bCs/>
          <w:szCs w:val="24"/>
        </w:rPr>
        <w:t xml:space="preserve">, która opiera się na różnicowym (przyrostowym) modelu finansowym. </w:t>
      </w:r>
    </w:p>
    <w:p w14:paraId="77C5AD50" w14:textId="77777777" w:rsidR="00C2071D" w:rsidRPr="004B77D6" w:rsidRDefault="00C2071D" w:rsidP="00C2071D">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t xml:space="preserve">W ramach </w:t>
      </w:r>
      <w:r w:rsidRPr="004B77D6">
        <w:rPr>
          <w:rFonts w:ascii="Calibri" w:hAnsi="Calibri" w:cs="Arial"/>
          <w:b/>
          <w:bCs/>
          <w:szCs w:val="24"/>
        </w:rPr>
        <w:t>metody złożonej</w:t>
      </w:r>
      <w:r w:rsidRPr="004B77D6">
        <w:rPr>
          <w:rFonts w:ascii="Calibri" w:hAnsi="Calibri" w:cs="Arial"/>
          <w:bCs/>
          <w:szCs w:val="24"/>
        </w:rPr>
        <w:t xml:space="preserve"> dopuszczalne jest stosowanie dwóch podejść:</w:t>
      </w:r>
    </w:p>
    <w:p w14:paraId="7596BFB5" w14:textId="77777777" w:rsidR="00C2071D" w:rsidRPr="004B77D6" w:rsidRDefault="00C2071D" w:rsidP="00C2071D">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strumienie pieniężne szacowane są jako różnica pomiędzy strumieniami pieniężnymi dla scenariusza „podmiot z projektem” (wnioskodawca z inwestycją) oraz strumieniami pieniężnymi dla scenariusza „podmiot bez projektu” (wnioskodawca bez inwestycji).</w:t>
      </w:r>
    </w:p>
    <w:p w14:paraId="33458774" w14:textId="77777777" w:rsidR="00C2071D" w:rsidRPr="004B77D6" w:rsidRDefault="00C2071D" w:rsidP="00C2071D">
      <w:pPr>
        <w:tabs>
          <w:tab w:val="left" w:pos="360"/>
        </w:tabs>
        <w:suppressAutoHyphens w:val="0"/>
        <w:spacing w:after="120" w:line="276" w:lineRule="auto"/>
        <w:ind w:left="360"/>
        <w:rPr>
          <w:rFonts w:ascii="Calibri" w:hAnsi="Calibri" w:cs="Arial"/>
          <w:bCs/>
          <w:szCs w:val="24"/>
        </w:rPr>
      </w:pPr>
      <w:r w:rsidRPr="004B77D6">
        <w:rPr>
          <w:rFonts w:ascii="Calibri" w:hAnsi="Calibri" w:cs="Arial"/>
          <w:bCs/>
          <w:szCs w:val="24"/>
        </w:rPr>
        <w:tab/>
        <w:t>Metoda ta może zostać zastosowana m.in. w poniższych przypadkach:</w:t>
      </w:r>
    </w:p>
    <w:p w14:paraId="0D6A3AFF" w14:textId="77777777" w:rsidR="00C2071D" w:rsidRPr="004B77D6" w:rsidRDefault="00C2071D" w:rsidP="00C2071D">
      <w:pPr>
        <w:suppressAutoHyphens w:val="0"/>
        <w:spacing w:after="120" w:line="276" w:lineRule="auto"/>
        <w:ind w:left="1701" w:hanging="425"/>
        <w:rPr>
          <w:rFonts w:ascii="Calibri" w:hAnsi="Calibri" w:cs="Arial"/>
          <w:bCs/>
          <w:szCs w:val="24"/>
        </w:rPr>
      </w:pPr>
      <w:r w:rsidRPr="004B77D6">
        <w:rPr>
          <w:rFonts w:ascii="Calibri" w:hAnsi="Calibri" w:cs="Arial"/>
          <w:bCs/>
          <w:szCs w:val="24"/>
        </w:rPr>
        <w:t>i)   w branżach regulowanych i/lub branżach sieciowych, w tym w szczególności dla projektów dotyczących gospodarki wodnej, kanalizacji, odpadów i sieci grzewczych/ciepłownictwa,</w:t>
      </w:r>
    </w:p>
    <w:p w14:paraId="3F65F18C" w14:textId="77777777" w:rsidR="00C2071D" w:rsidRPr="004B77D6" w:rsidRDefault="00C2071D" w:rsidP="00C2071D">
      <w:pPr>
        <w:suppressAutoHyphens w:val="0"/>
        <w:spacing w:after="120" w:line="276" w:lineRule="auto"/>
        <w:ind w:left="1701" w:hanging="425"/>
        <w:rPr>
          <w:rFonts w:ascii="Calibri" w:hAnsi="Calibri" w:cs="Arial"/>
          <w:bCs/>
          <w:szCs w:val="24"/>
        </w:rPr>
      </w:pPr>
      <w:r w:rsidRPr="004B77D6">
        <w:rPr>
          <w:rFonts w:ascii="Calibri" w:hAnsi="Calibri" w:cs="Arial"/>
          <w:bCs/>
          <w:szCs w:val="24"/>
        </w:rPr>
        <w:t>ii)</w:t>
      </w:r>
      <w:r w:rsidRPr="004B77D6">
        <w:rPr>
          <w:rFonts w:ascii="Calibri" w:hAnsi="Calibri" w:cs="Arial"/>
          <w:bCs/>
          <w:szCs w:val="24"/>
        </w:rPr>
        <w:tab/>
        <w:t>zalecana jest dla całego sektora regulowanego (gospodarka wodna, energetyka, telekomunikacja itd.), w którym wartość projektu inwestycyjnego jest znacząca w porównaniu z wartością netto istniejących aktywów podmiotu,</w:t>
      </w:r>
    </w:p>
    <w:p w14:paraId="44F06871" w14:textId="77777777" w:rsidR="00C2071D" w:rsidRPr="004B77D6" w:rsidRDefault="00C2071D" w:rsidP="00C2071D">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lastRenderedPageBreak/>
        <w:t>strumienie pieniężne szacowane są jako różnica pomiędzy strumieniami pieniężnymi dla scenariusza „działalność gospodarcza z projektem” oraz strumieniami pieniężnymi dla scenariusza „działalność gospodarcza bez projektu”. W ramach działalności gospodarczej można wyróżnić:</w:t>
      </w:r>
    </w:p>
    <w:p w14:paraId="55E3960F" w14:textId="77777777" w:rsidR="00C2071D" w:rsidRPr="004B77D6" w:rsidRDefault="00C2071D" w:rsidP="0089006E">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usługę (działalność) / pakiet usług oferowanych w obrębie zdefiniowanego regionu,</w:t>
      </w:r>
    </w:p>
    <w:p w14:paraId="1700A394" w14:textId="77777777" w:rsidR="00C2071D" w:rsidRPr="004B77D6" w:rsidRDefault="00C2071D" w:rsidP="0089006E">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usługę (działalność) / pakiet usług oferowanych w ramach kilku regionów,</w:t>
      </w:r>
    </w:p>
    <w:p w14:paraId="0E902E59" w14:textId="77777777" w:rsidR="00C2071D" w:rsidRPr="004B77D6" w:rsidRDefault="00C2071D" w:rsidP="0089006E">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nowy produkt wytwarzany w już istniejącej fabryce,</w:t>
      </w:r>
    </w:p>
    <w:p w14:paraId="4C4ECE0B" w14:textId="77777777" w:rsidR="00C2071D" w:rsidRPr="004B77D6" w:rsidRDefault="00C2071D" w:rsidP="0089006E">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inne.</w:t>
      </w:r>
    </w:p>
    <w:p w14:paraId="0643614E" w14:textId="77777777" w:rsidR="00C2071D" w:rsidRPr="004B77D6" w:rsidRDefault="00C2071D" w:rsidP="00C2071D">
      <w:pPr>
        <w:tabs>
          <w:tab w:val="left" w:pos="360"/>
        </w:tabs>
        <w:suppressAutoHyphens w:val="0"/>
        <w:spacing w:after="120" w:line="276" w:lineRule="auto"/>
        <w:ind w:left="708"/>
        <w:rPr>
          <w:rFonts w:ascii="Calibri" w:hAnsi="Calibri" w:cs="Arial"/>
          <w:bCs/>
          <w:szCs w:val="24"/>
        </w:rPr>
      </w:pPr>
      <w:r w:rsidRPr="004B77D6">
        <w:rPr>
          <w:rFonts w:ascii="Calibri" w:hAnsi="Calibri" w:cs="Arial"/>
          <w:bCs/>
          <w:szCs w:val="24"/>
        </w:rPr>
        <w:t xml:space="preserve">Takie podejście umożliwia uproszczenie obliczeń. W przypadku podmiotu działającego na obszarze całej Polski, nie ma potrzeby analizowania jego finansów </w:t>
      </w:r>
      <w:r w:rsidRPr="004B77D6">
        <w:rPr>
          <w:rFonts w:ascii="Calibri" w:hAnsi="Calibri" w:cs="Arial"/>
          <w:bCs/>
          <w:szCs w:val="24"/>
        </w:rPr>
        <w:br/>
        <w:t>w skali całego kraju. W takim przypadku wystarczającym może się okazać przeprowadzenie analizy finansów w aspekcie danego regionu bądź usługi (rodzaju działalności), o ile tego typu dane są możliwe do wyodrębnienia z ksiąg rachunkowych firmy. Zamiast poddawać analizie podmiot działający w wielu regionach, wystarczy przyjrzeć się przepływom finansowym generowanym przez fabrykę, która jest unowocześniana. W przypadku branż sieciowych (np. koleje), wystarczające może okazać się przeprowadzenie analizy wybranej części sieci.</w:t>
      </w:r>
    </w:p>
    <w:p w14:paraId="61F890A0" w14:textId="77777777" w:rsidR="00C2071D" w:rsidRPr="004B77D6" w:rsidRDefault="00C2071D" w:rsidP="00C2071D">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t xml:space="preserve">W złożonej metodzie analizy finansowej przepływy finansowe powinny zostać obliczone zgodnie z metodą </w:t>
      </w:r>
      <w:r w:rsidRPr="004B77D6">
        <w:rPr>
          <w:rFonts w:ascii="Calibri" w:hAnsi="Calibri" w:cs="Arial"/>
          <w:b/>
          <w:bCs/>
          <w:szCs w:val="24"/>
        </w:rPr>
        <w:t>różnicowego modelu finansowego</w:t>
      </w:r>
      <w:r w:rsidRPr="004B77D6">
        <w:rPr>
          <w:rFonts w:ascii="Calibri" w:hAnsi="Calibri" w:cs="Arial"/>
          <w:bCs/>
          <w:szCs w:val="24"/>
        </w:rPr>
        <w:t>, według następujących założeń:</w:t>
      </w:r>
    </w:p>
    <w:p w14:paraId="17D1392C" w14:textId="77777777" w:rsidR="00C2071D" w:rsidRPr="004B77D6" w:rsidRDefault="00C2071D" w:rsidP="00C2071D">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 xml:space="preserve">należy sporządzić prognozę wartości przepływów pieniężnych obejmujących wszystkie nakłady inwestycyjne, które podmiot/operator ponosiłby nie realizując projektu UE, nakłady odtworzeniowe związane z tymi inwestycjami, zmiany </w:t>
      </w:r>
      <w:r w:rsidRPr="004B77D6">
        <w:rPr>
          <w:rFonts w:ascii="Calibri" w:hAnsi="Calibri" w:cs="Arial"/>
          <w:bCs/>
          <w:szCs w:val="24"/>
        </w:rPr>
        <w:br/>
        <w:t xml:space="preserve">w kapitale obrotowym netto w całym okresie odniesienia – fazie inwestycyjnej </w:t>
      </w:r>
      <w:r w:rsidRPr="004B77D6">
        <w:rPr>
          <w:rFonts w:ascii="Calibri" w:hAnsi="Calibri" w:cs="Arial"/>
          <w:bCs/>
          <w:szCs w:val="24"/>
        </w:rPr>
        <w:br/>
        <w:t>i operacyjnej</w:t>
      </w:r>
      <w:r w:rsidRPr="004B77D6" w:rsidDel="00DA7975">
        <w:rPr>
          <w:rFonts w:ascii="Calibri" w:hAnsi="Calibri" w:cs="Arial"/>
          <w:bCs/>
          <w:szCs w:val="24"/>
        </w:rPr>
        <w:t xml:space="preserve"> </w:t>
      </w:r>
      <w:r w:rsidRPr="004B77D6">
        <w:rPr>
          <w:rFonts w:ascii="Calibri" w:hAnsi="Calibri" w:cs="Arial"/>
          <w:bCs/>
          <w:szCs w:val="24"/>
        </w:rPr>
        <w:t xml:space="preserve">(w uzasadnionych przypadkach), koszty operacyjne i przychody (inne niż wynikające z projektu UE) dla podmiotu/operatora (działalność gospodarcza) bez inwestycji (scenariusz bez projektu UE) dla poszczególnych lat okresu odniesienia, </w:t>
      </w:r>
    </w:p>
    <w:p w14:paraId="508B07CD" w14:textId="77777777" w:rsidR="00C2071D" w:rsidRPr="004B77D6" w:rsidRDefault="00C2071D" w:rsidP="00C2071D">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w kolejnym kroku należy sporządzić scenariusz z projektem, tj. należy wziąć pod uwagę ww. prognozę dla podmiotu/operatora (działalność gospodarcza) z inwestycją (scenariusz z projektem) uwzględniając:</w:t>
      </w:r>
    </w:p>
    <w:p w14:paraId="00B733DF" w14:textId="77777777" w:rsidR="00C2071D" w:rsidRPr="004B77D6" w:rsidRDefault="00C2071D" w:rsidP="0089006E">
      <w:pPr>
        <w:numPr>
          <w:ilvl w:val="0"/>
          <w:numId w:val="43"/>
        </w:numPr>
        <w:suppressAutoHyphens w:val="0"/>
        <w:spacing w:after="120" w:line="276" w:lineRule="auto"/>
        <w:ind w:left="1276" w:hanging="218"/>
        <w:rPr>
          <w:rFonts w:ascii="Calibri" w:hAnsi="Calibri" w:cs="Arial"/>
          <w:bCs/>
          <w:szCs w:val="24"/>
        </w:rPr>
      </w:pPr>
      <w:r w:rsidRPr="004B77D6">
        <w:rPr>
          <w:rFonts w:ascii="Calibri" w:hAnsi="Calibri" w:cs="Arial"/>
          <w:bCs/>
          <w:szCs w:val="24"/>
        </w:rPr>
        <w:t xml:space="preserve"> wszystkie nakłady inwestycyjne, łącznie z nakładami inwestycyjnymi na realizację projektu UE (bez rezerw na nieprzewidziane wydatki w nakładach inwestycyjnych projektu współfinansowanego ze środków UE),</w:t>
      </w:r>
    </w:p>
    <w:p w14:paraId="0F4D90D0" w14:textId="77777777" w:rsidR="00C2071D" w:rsidRPr="004B77D6" w:rsidRDefault="00C2071D" w:rsidP="0089006E">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nakłady odtworzeniowe, </w:t>
      </w:r>
    </w:p>
    <w:p w14:paraId="2DB921C7" w14:textId="77777777" w:rsidR="00C2071D" w:rsidRPr="004B77D6" w:rsidRDefault="00C2071D" w:rsidP="0089006E">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lastRenderedPageBreak/>
        <w:t xml:space="preserve"> zmiany w kapitale obrotowym netto w całym okresie odniesienia – fazie inwestycyjnej i operacyjnej</w:t>
      </w:r>
      <w:r w:rsidRPr="004B77D6" w:rsidDel="00DA7975">
        <w:rPr>
          <w:rFonts w:ascii="Calibri" w:hAnsi="Calibri" w:cs="Arial"/>
          <w:bCs/>
          <w:szCs w:val="24"/>
        </w:rPr>
        <w:t xml:space="preserve"> </w:t>
      </w:r>
      <w:r w:rsidRPr="004B77D6">
        <w:rPr>
          <w:rFonts w:ascii="Calibri" w:hAnsi="Calibri" w:cs="Arial"/>
          <w:bCs/>
          <w:szCs w:val="24"/>
        </w:rPr>
        <w:t>(w uzasadnionych przypadkach),</w:t>
      </w:r>
    </w:p>
    <w:p w14:paraId="3251A6B3" w14:textId="77777777" w:rsidR="00C2071D" w:rsidRPr="004B77D6" w:rsidRDefault="00C2071D" w:rsidP="0089006E">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koszty operacyjne,</w:t>
      </w:r>
    </w:p>
    <w:p w14:paraId="0174E33B" w14:textId="77777777" w:rsidR="00C2071D" w:rsidRPr="004B77D6" w:rsidRDefault="00C2071D" w:rsidP="0089006E">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przychody uwzględniające ewentualną korektę taryf, biorąc pod uwagę dostępność cenową (</w:t>
      </w:r>
      <w:r w:rsidRPr="004B77D6">
        <w:rPr>
          <w:rFonts w:ascii="Calibri" w:hAnsi="Calibri" w:cs="Arial"/>
          <w:bCs/>
          <w:i/>
          <w:szCs w:val="24"/>
        </w:rPr>
        <w:t xml:space="preserve">ang. </w:t>
      </w:r>
      <w:proofErr w:type="spellStart"/>
      <w:r w:rsidRPr="004B77D6">
        <w:rPr>
          <w:rFonts w:ascii="Calibri" w:hAnsi="Calibri" w:cs="Arial"/>
          <w:bCs/>
          <w:i/>
          <w:szCs w:val="24"/>
        </w:rPr>
        <w:t>affordability</w:t>
      </w:r>
      <w:proofErr w:type="spellEnd"/>
      <w:r w:rsidRPr="004B77D6">
        <w:rPr>
          <w:rFonts w:ascii="Calibri" w:hAnsi="Calibri" w:cs="Arial"/>
          <w:bCs/>
          <w:szCs w:val="24"/>
        </w:rPr>
        <w:t>)</w:t>
      </w:r>
      <w:r w:rsidRPr="004B77D6">
        <w:rPr>
          <w:rStyle w:val="Odwoanieprzypisudolnego"/>
          <w:rFonts w:ascii="Calibri" w:hAnsi="Calibri" w:cs="Arial"/>
          <w:bCs/>
          <w:szCs w:val="24"/>
        </w:rPr>
        <w:footnoteReference w:id="9"/>
      </w:r>
      <w:r w:rsidRPr="004B77D6">
        <w:rPr>
          <w:rFonts w:ascii="Calibri" w:hAnsi="Calibri" w:cs="Arial"/>
          <w:bCs/>
          <w:szCs w:val="24"/>
        </w:rPr>
        <w:t>,</w:t>
      </w:r>
    </w:p>
    <w:p w14:paraId="7C3E011F" w14:textId="77777777" w:rsidR="00C2071D" w:rsidRPr="004B77D6" w:rsidRDefault="00C2071D" w:rsidP="0089006E">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wartość rezydualną. </w:t>
      </w:r>
    </w:p>
    <w:p w14:paraId="71BDEAAC" w14:textId="77777777" w:rsidR="00C2071D" w:rsidRPr="004B77D6" w:rsidRDefault="00C2071D" w:rsidP="00C2071D">
      <w:pPr>
        <w:suppressAutoHyphens w:val="0"/>
        <w:spacing w:after="120" w:line="276" w:lineRule="auto"/>
        <w:ind w:left="720"/>
        <w:rPr>
          <w:rFonts w:ascii="Calibri" w:hAnsi="Calibri" w:cs="Arial"/>
          <w:bCs/>
          <w:szCs w:val="24"/>
        </w:rPr>
      </w:pPr>
      <w:r w:rsidRPr="004B77D6">
        <w:rPr>
          <w:rFonts w:ascii="Calibri" w:hAnsi="Calibri" w:cs="Arial"/>
          <w:bCs/>
          <w:szCs w:val="24"/>
        </w:rPr>
        <w:t>Wynikiem sporządzenia powyższej prognozy jest ustalenie wartości przepływów pieniężnych obejmujących nakłady inwestycyjne, nakłady odtworzeniowe, koszty operacyjne, zmiany w kapitale obrotowym netto w całym okresie odniesienia – fazie inwestycyjnej i operacyjnej</w:t>
      </w:r>
      <w:r w:rsidRPr="004B77D6" w:rsidDel="00DA7975">
        <w:rPr>
          <w:rFonts w:ascii="Calibri" w:hAnsi="Calibri" w:cs="Arial"/>
          <w:bCs/>
          <w:szCs w:val="24"/>
        </w:rPr>
        <w:t xml:space="preserve"> </w:t>
      </w:r>
      <w:r w:rsidRPr="004B77D6">
        <w:rPr>
          <w:rFonts w:ascii="Calibri" w:hAnsi="Calibri" w:cs="Arial"/>
          <w:bCs/>
          <w:szCs w:val="24"/>
        </w:rPr>
        <w:t xml:space="preserve">(w uzasadnionych przypadkach) i przychody </w:t>
      </w:r>
      <w:r w:rsidRPr="004B77D6">
        <w:rPr>
          <w:rFonts w:ascii="Calibri" w:hAnsi="Calibri" w:cs="Arial"/>
          <w:bCs/>
          <w:szCs w:val="24"/>
        </w:rPr>
        <w:br/>
        <w:t>w scenariuszu z projektem.</w:t>
      </w:r>
    </w:p>
    <w:p w14:paraId="1DE0C58B" w14:textId="77777777" w:rsidR="00C2071D" w:rsidRPr="004B77D6" w:rsidRDefault="00C2071D" w:rsidP="00C2071D">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 xml:space="preserve">Następnie należy dokonać porównania obu ww. scenariuszy. Różnice w poszczególnych kategoriach przepływów pieniężnych dla projektu (m.in. przychód, koszty operacyjne) stanowią różnicę pomiędzy odpowiednimi kategoriami przepływów pieniężnych dla scenariusza „podmiot (lub działalność gospodarcza) z projektem” oraz scenariusza „podmiot (lub działalność gospodarcza) bez projektu”. Tak uzyskane przepływy określa się jako przepływy przyrostowe lub różnicowe. Określone przepływy różnicowe są wykorzystywane między innymi dla ustalenia wskaźnika luki w finansowaniu. </w:t>
      </w:r>
    </w:p>
    <w:p w14:paraId="53071F1D" w14:textId="77777777" w:rsidR="00C2071D" w:rsidRPr="004B77D6" w:rsidRDefault="00C2071D" w:rsidP="00C2071D">
      <w:pPr>
        <w:pStyle w:val="Tekstpodstawowy22"/>
        <w:numPr>
          <w:ilvl w:val="3"/>
          <w:numId w:val="7"/>
        </w:numPr>
        <w:spacing w:before="240" w:after="120" w:line="276" w:lineRule="auto"/>
        <w:ind w:left="1440" w:hanging="720"/>
        <w:jc w:val="left"/>
        <w:rPr>
          <w:rFonts w:ascii="Calibri" w:hAnsi="Calibri" w:cs="Arial"/>
          <w:b/>
          <w:szCs w:val="24"/>
        </w:rPr>
      </w:pPr>
      <w:r w:rsidRPr="004B77D6">
        <w:rPr>
          <w:rFonts w:ascii="Calibri" w:hAnsi="Calibri" w:cs="Arial"/>
          <w:b/>
          <w:szCs w:val="24"/>
        </w:rPr>
        <w:t>Określenie przychodów projektu, kalkulacja taryf.</w:t>
      </w:r>
    </w:p>
    <w:p w14:paraId="5AA868F4" w14:textId="77777777" w:rsidR="00316531" w:rsidRPr="00316531" w:rsidRDefault="00316531"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szCs w:val="24"/>
        </w:rPr>
      </w:pPr>
      <w:r w:rsidRPr="00316531">
        <w:rPr>
          <w:rFonts w:ascii="Calibri" w:hAnsi="Calibri" w:cs="Arial"/>
          <w:color w:val="000000"/>
          <w:szCs w:val="24"/>
        </w:rPr>
        <w:t xml:space="preserve">Wysokość taryf ustalających ceny za towary lub usługi zapewniane przez dany projekt jest, obok popytu, głównym czynnikiem pozwalającym określić poziom przychodów, jakie będą generowane w fazie operacyjnej projektu. </w:t>
      </w:r>
    </w:p>
    <w:p w14:paraId="152BE86A" w14:textId="46269849" w:rsidR="00C2071D" w:rsidRPr="00316531" w:rsidRDefault="00C2071D"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szCs w:val="24"/>
        </w:rPr>
      </w:pPr>
      <w:r w:rsidRPr="004B77D6">
        <w:rPr>
          <w:rFonts w:ascii="Calibri" w:hAnsi="Calibri" w:cs="Arial"/>
          <w:color w:val="000000"/>
          <w:szCs w:val="24"/>
        </w:rPr>
        <w:t>W odniesieniu do projektów dotyczących określonych sektorów</w:t>
      </w:r>
      <w:r w:rsidRPr="004B77D6">
        <w:rPr>
          <w:rStyle w:val="Odwoanieprzypisudolnego"/>
          <w:rFonts w:ascii="Calibri" w:hAnsi="Calibri" w:cs="Arial"/>
          <w:color w:val="000000"/>
          <w:szCs w:val="24"/>
        </w:rPr>
        <w:footnoteReference w:id="10"/>
      </w:r>
      <w:r w:rsidRPr="004B77D6">
        <w:rPr>
          <w:rFonts w:ascii="Calibri" w:hAnsi="Calibri" w:cs="Arial"/>
          <w:color w:val="000000"/>
          <w:szCs w:val="24"/>
        </w:rPr>
        <w:t xml:space="preserve">, taryfę opłat dokonywanych przez użytkowników należy ustalić zgodnie z </w:t>
      </w:r>
      <w:r w:rsidRPr="004B77D6">
        <w:rPr>
          <w:rFonts w:ascii="Calibri" w:hAnsi="Calibri" w:cs="Arial"/>
          <w:b/>
          <w:bCs/>
          <w:color w:val="000000"/>
          <w:szCs w:val="24"/>
        </w:rPr>
        <w:t xml:space="preserve">zasadą </w:t>
      </w:r>
      <w:r w:rsidR="00316531" w:rsidRPr="00316531">
        <w:rPr>
          <w:rFonts w:ascii="Calibri" w:hAnsi="Calibri" w:cs="Arial"/>
          <w:b/>
          <w:bCs/>
          <w:color w:val="000000"/>
          <w:szCs w:val="24"/>
        </w:rPr>
        <w:t xml:space="preserve">„zanieczyszczający płaci” </w:t>
      </w:r>
      <w:r w:rsidR="00316531" w:rsidRPr="00316531">
        <w:rPr>
          <w:rFonts w:ascii="Calibri" w:hAnsi="Calibri" w:cs="Arial"/>
          <w:color w:val="000000"/>
          <w:szCs w:val="24"/>
        </w:rPr>
        <w:t xml:space="preserve">oraz </w:t>
      </w:r>
      <w:r w:rsidR="00316531" w:rsidRPr="00316531">
        <w:rPr>
          <w:rFonts w:ascii="Calibri" w:hAnsi="Calibri" w:cs="Arial"/>
          <w:b/>
          <w:bCs/>
          <w:color w:val="000000"/>
          <w:szCs w:val="24"/>
        </w:rPr>
        <w:t xml:space="preserve">zasadą pełnego zwrotu kosztów, </w:t>
      </w:r>
      <w:r w:rsidR="00316531" w:rsidRPr="00316531">
        <w:rPr>
          <w:rFonts w:ascii="Calibri" w:hAnsi="Calibri" w:cs="Arial"/>
          <w:color w:val="000000"/>
          <w:szCs w:val="24"/>
        </w:rPr>
        <w:t xml:space="preserve">przy uwzględnieniu kryterium dostępności cenowej taryf (ang. </w:t>
      </w:r>
      <w:proofErr w:type="spellStart"/>
      <w:r w:rsidR="00316531" w:rsidRPr="00316531">
        <w:rPr>
          <w:rFonts w:ascii="Calibri" w:hAnsi="Calibri" w:cs="Arial"/>
          <w:color w:val="000000"/>
          <w:szCs w:val="24"/>
        </w:rPr>
        <w:t>affordability</w:t>
      </w:r>
      <w:proofErr w:type="spellEnd"/>
      <w:r w:rsidR="00316531" w:rsidRPr="00316531">
        <w:rPr>
          <w:rFonts w:ascii="Calibri" w:hAnsi="Calibri" w:cs="Arial"/>
          <w:color w:val="000000"/>
          <w:szCs w:val="24"/>
        </w:rPr>
        <w:t xml:space="preserve">), wyrażającego granicę zdolności gospodarstw domowych do ponoszenia kosztów zakupu dóbr i usług zapewnianych przez projekt. Zastosowanie zasady pełnego zwrotu kosztów polega na tym, że: a) przyjęte taryfy powinny, na tyle, na ile to możliwe, pokrywać nakłady inwestycyjne oraz koszty operacyjne i nakłady </w:t>
      </w:r>
      <w:r w:rsidR="00316531" w:rsidRPr="00316531">
        <w:rPr>
          <w:rFonts w:ascii="Calibri" w:hAnsi="Calibri" w:cs="Arial"/>
          <w:color w:val="000000"/>
          <w:szCs w:val="24"/>
        </w:rPr>
        <w:lastRenderedPageBreak/>
        <w:t>odtworzeniowe, jak również koszty związane z zanieczyszczeniem środowiska, b) struktura taryf powinna maksymalizować przychody projektu przed uwzględnieniem subwencji/dotacji, przy uwzględnieniu kryterium dostępności cenowej.</w:t>
      </w:r>
    </w:p>
    <w:p w14:paraId="507FF117" w14:textId="77777777" w:rsidR="00C2071D" w:rsidRPr="004B77D6" w:rsidRDefault="00C2071D"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Dostępność cenowa jest miarą statystyczną i odzwierciedla (mierzony medianą)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z budżetu państwa wypłacanych gospodarstwom domowym lub też dopłat do taryf wypłacanych określonej grupie taryfowej z budżetu lokalnego. </w:t>
      </w:r>
    </w:p>
    <w:p w14:paraId="5750DD3D" w14:textId="77777777" w:rsidR="00C2071D" w:rsidRPr="004B77D6" w:rsidRDefault="00C2071D"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Korekty taryf w oparciu o zasadę dostępności cenowej należy dokonać w sytuacji, </w:t>
      </w:r>
      <w:r w:rsidRPr="004B77D6">
        <w:rPr>
          <w:rFonts w:ascii="Calibri" w:hAnsi="Calibri" w:cs="Arial"/>
          <w:color w:val="000000"/>
          <w:szCs w:val="24"/>
        </w:rPr>
        <w:br/>
        <w:t xml:space="preserve">gdy analiza finansowa wykazała, że zakładany poziom taryf może okazać się zbyt wysoki, </w:t>
      </w:r>
      <w:r w:rsidRPr="004B77D6">
        <w:rPr>
          <w:rFonts w:ascii="Calibri" w:hAnsi="Calibri" w:cs="Arial"/>
          <w:color w:val="000000"/>
          <w:szCs w:val="24"/>
        </w:rPr>
        <w:br/>
        <w:t xml:space="preserve">co będzie skutkowało spadkiem popytu (wynikającym z niezdolności odbiorców do pokrycia kosztów towarów i usług), a tym samym zagrozi finansowej trwałości inwestycji. </w:t>
      </w:r>
    </w:p>
    <w:p w14:paraId="117F1ACB" w14:textId="77777777" w:rsidR="00316531" w:rsidRDefault="00316531"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Skalę korekty ustala beneficjent, uwzględniając przy tym uwarunkowania lokalne, w tym zwłaszcza aktualny poziom wydatków ponoszonych przez gospodarstwa domowe.</w:t>
      </w:r>
    </w:p>
    <w:p w14:paraId="5DD1553A" w14:textId="1B2C672E" w:rsidR="00C2071D" w:rsidRPr="004B77D6" w:rsidRDefault="00C2071D" w:rsidP="0089006E">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Odwołując się do kryterium dostępności cenowej przy ustalaniu poziomu taryf należy zastosować się do poniższych reguł: </w:t>
      </w:r>
    </w:p>
    <w:p w14:paraId="42BF7487" w14:textId="77777777" w:rsidR="00C2071D" w:rsidRPr="004B77D6" w:rsidRDefault="00C2071D" w:rsidP="0089006E">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korekta poziomu taryf nie powinna zagrażać trwałości finansowej projektu,</w:t>
      </w:r>
    </w:p>
    <w:p w14:paraId="45E62C72" w14:textId="77777777" w:rsidR="00C2071D" w:rsidRPr="004B77D6" w:rsidRDefault="00C2071D" w:rsidP="0089006E">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 xml:space="preserve">co do zasady, korekta powinna mieć charakter tymczasowy i obowiązywać do momentu, do którego jest ona niezbędna do zastosowania,  </w:t>
      </w:r>
    </w:p>
    <w:p w14:paraId="2A43DD3E" w14:textId="77777777" w:rsidR="00C2071D" w:rsidRPr="004B77D6" w:rsidRDefault="00C2071D" w:rsidP="0089006E">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 xml:space="preserve">  korekta poziomu taryf oparta na przedmiotowej zasadzie może być dokonana wyłącznie w odniesieniu do opłat ponoszonych przez gospodarstwa domowe,</w:t>
      </w:r>
    </w:p>
    <w:p w14:paraId="088B6679" w14:textId="77777777" w:rsidR="00C2071D" w:rsidRPr="004B77D6" w:rsidRDefault="00C2071D" w:rsidP="0089006E">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jeżeli w analizie finansowej stosowano taryfy w wymiarze uwzględniającym kryterium dostępności cenowej, tożsame taryfy muszą być stosowane w fazie operacyjnej projektu,</w:t>
      </w:r>
    </w:p>
    <w:p w14:paraId="66E6E65A" w14:textId="77777777" w:rsidR="00C2071D" w:rsidRPr="004B77D6" w:rsidRDefault="00C2071D" w:rsidP="0089006E">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 xml:space="preserve">  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w:t>
      </w:r>
    </w:p>
    <w:p w14:paraId="432005F4" w14:textId="238E0393" w:rsidR="00C2071D" w:rsidRDefault="00316531" w:rsidP="0089006E">
      <w:pPr>
        <w:pStyle w:val="Tekstpodstawowy22"/>
        <w:numPr>
          <w:ilvl w:val="3"/>
          <w:numId w:val="27"/>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 xml:space="preserve">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t>
      </w:r>
      <w:r w:rsidRPr="00316531">
        <w:rPr>
          <w:rFonts w:ascii="Calibri" w:hAnsi="Calibri" w:cs="Arial"/>
          <w:color w:val="000000"/>
          <w:szCs w:val="24"/>
        </w:rPr>
        <w:lastRenderedPageBreak/>
        <w:t>wdrożenia w fazie operacyjnej projektu (ograniczonymi zgodnie z regułą dostępności cenowej). Na przychód projektu, co do zasady, nie składają się zatem transfery z budżetu państwa lub samorządu ani z publicznych systemów ubezpieczeń (np. dotacje na działalność oraz subsydia).</w:t>
      </w:r>
    </w:p>
    <w:p w14:paraId="6A012F8D" w14:textId="0EBA215D" w:rsidR="00C30A65" w:rsidRPr="00316531" w:rsidRDefault="00316531" w:rsidP="0089006E">
      <w:pPr>
        <w:pStyle w:val="Tekstpodstawowy22"/>
        <w:numPr>
          <w:ilvl w:val="3"/>
          <w:numId w:val="27"/>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Właściwym do uwzględniania wszystkich źródeł przychodów etapem analizy finansowej jest etap analizy trwałości finansowej projektu.</w:t>
      </w:r>
    </w:p>
    <w:p w14:paraId="3E9133C3" w14:textId="77777777" w:rsidR="00C2071D" w:rsidRPr="004B77D6" w:rsidRDefault="00C2071D" w:rsidP="00C2071D">
      <w:pPr>
        <w:pStyle w:val="Tekstpodstawowy22"/>
        <w:numPr>
          <w:ilvl w:val="3"/>
          <w:numId w:val="7"/>
        </w:numPr>
        <w:spacing w:before="240" w:after="120" w:line="276" w:lineRule="auto"/>
        <w:ind w:left="1440" w:hanging="720"/>
        <w:jc w:val="left"/>
        <w:rPr>
          <w:rFonts w:ascii="Calibri" w:hAnsi="Calibri" w:cs="Arial"/>
          <w:b/>
          <w:color w:val="000000"/>
          <w:szCs w:val="24"/>
        </w:rPr>
      </w:pPr>
      <w:r w:rsidRPr="004B77D6">
        <w:rPr>
          <w:rFonts w:ascii="Calibri" w:hAnsi="Calibri" w:cs="Arial"/>
          <w:b/>
          <w:color w:val="000000"/>
          <w:szCs w:val="24"/>
        </w:rPr>
        <w:t xml:space="preserve">Ustalenie wartości wskaźników finansowej efektywności </w:t>
      </w:r>
    </w:p>
    <w:p w14:paraId="637B9CAD" w14:textId="77777777" w:rsidR="00C2071D" w:rsidRPr="004B77D6" w:rsidRDefault="00C2071D" w:rsidP="0089006E">
      <w:pPr>
        <w:pStyle w:val="Akapit"/>
        <w:keepNext w:val="0"/>
        <w:numPr>
          <w:ilvl w:val="0"/>
          <w:numId w:val="35"/>
        </w:numPr>
        <w:spacing w:after="120" w:line="276" w:lineRule="auto"/>
        <w:jc w:val="left"/>
        <w:rPr>
          <w:rFonts w:ascii="Calibri" w:hAnsi="Calibri" w:cs="Arial"/>
          <w:sz w:val="24"/>
        </w:rPr>
      </w:pPr>
      <w:r w:rsidRPr="004B77D6">
        <w:rPr>
          <w:rFonts w:ascii="Calibri" w:hAnsi="Calibri" w:cs="Arial"/>
          <w:sz w:val="24"/>
        </w:rPr>
        <w:t xml:space="preserve">Ustalenie wartości wskaźników finansowej efektywności projektu dokonywane jest </w:t>
      </w:r>
      <w:r w:rsidRPr="004B77D6">
        <w:rPr>
          <w:rFonts w:ascii="Calibri" w:hAnsi="Calibri" w:cs="Arial"/>
          <w:sz w:val="24"/>
        </w:rPr>
        <w:br/>
        <w:t>na podstawie przepływów pieniężnych określonych przy zastosowaniu metody standardowej bądź złożonej.</w:t>
      </w:r>
    </w:p>
    <w:p w14:paraId="183674B6" w14:textId="77777777" w:rsidR="00C2071D" w:rsidRPr="004B77D6" w:rsidRDefault="00C2071D" w:rsidP="0089006E">
      <w:pPr>
        <w:pStyle w:val="Akapit"/>
        <w:numPr>
          <w:ilvl w:val="0"/>
          <w:numId w:val="35"/>
        </w:numPr>
        <w:spacing w:after="120" w:line="276" w:lineRule="auto"/>
        <w:ind w:hanging="357"/>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59264" behindDoc="0" locked="0" layoutInCell="1" allowOverlap="1" wp14:anchorId="05843888" wp14:editId="3C797B92">
                <wp:simplePos x="0" y="0"/>
                <wp:positionH relativeFrom="column">
                  <wp:posOffset>4760595</wp:posOffset>
                </wp:positionH>
                <wp:positionV relativeFrom="paragraph">
                  <wp:posOffset>207645</wp:posOffset>
                </wp:positionV>
                <wp:extent cx="1101725" cy="342900"/>
                <wp:effectExtent l="12700" t="12065" r="9525" b="698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42900"/>
                        </a:xfrm>
                        <a:prstGeom prst="rect">
                          <a:avLst/>
                        </a:prstGeom>
                        <a:solidFill>
                          <a:srgbClr val="FFFFFF"/>
                        </a:solidFill>
                        <a:ln w="9525">
                          <a:solidFill>
                            <a:srgbClr val="000000"/>
                          </a:solidFill>
                          <a:miter lim="800000"/>
                          <a:headEnd/>
                          <a:tailEnd/>
                        </a:ln>
                      </wps:spPr>
                      <wps:txbx>
                        <w:txbxContent>
                          <w:p w14:paraId="17A45D58" w14:textId="77777777" w:rsidR="00044260" w:rsidRPr="005A3B8B" w:rsidRDefault="00044260" w:rsidP="00C2071D">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43888" id="_x0000_t202" coordsize="21600,21600" o:spt="202" path="m,l,21600r21600,l21600,xe">
                <v:stroke joinstyle="miter"/>
                <v:path gradientshapeok="t" o:connecttype="rect"/>
              </v:shapetype>
              <v:shape id="Text Box 28" o:spid="_x0000_s1026" type="#_x0000_t202" style="position:absolute;left:0;text-align:left;margin-left:374.85pt;margin-top:16.35pt;width:8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kFQIAACs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">
                <v:textbox>
                  <w:txbxContent>
                    <w:p w14:paraId="17A45D58" w14:textId="77777777" w:rsidR="00044260" w:rsidRPr="005A3B8B" w:rsidRDefault="00044260" w:rsidP="00C2071D">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txbxContent>
                </v:textbox>
              </v:shape>
            </w:pict>
          </mc:Fallback>
        </mc:AlternateContent>
      </w:r>
      <w:r w:rsidRPr="004B77D6">
        <w:rPr>
          <w:rFonts w:ascii="Calibri" w:hAnsi="Calibri" w:cs="Arial"/>
          <w:noProof/>
          <w:sz w:val="24"/>
          <w:lang w:val="pl-PL"/>
        </w:rPr>
        <mc:AlternateContent>
          <mc:Choice Requires="wpg">
            <w:drawing>
              <wp:anchor distT="0" distB="0" distL="114300" distR="114300" simplePos="0" relativeHeight="251661312" behindDoc="0" locked="0" layoutInCell="1" allowOverlap="1" wp14:anchorId="1B86526E" wp14:editId="0B14F6E5">
                <wp:simplePos x="0" y="0"/>
                <wp:positionH relativeFrom="column">
                  <wp:posOffset>4627880</wp:posOffset>
                </wp:positionH>
                <wp:positionV relativeFrom="paragraph">
                  <wp:posOffset>207645</wp:posOffset>
                </wp:positionV>
                <wp:extent cx="132715" cy="839470"/>
                <wp:effectExtent l="13335" t="12065" r="6350" b="5715"/>
                <wp:wrapNone/>
                <wp:docPr id="30" name="Group 30" descr="grafika wskazująca, że wskaźniki (FNPV/C) i (FRR/C) to finansowy zwrot z inwestycji a wskaźniki (FNPV/K) i (FRR/K) to finansowy zwrot z kapitału krajow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39470"/>
                          <a:chOff x="8100" y="3810"/>
                          <a:chExt cx="240" cy="1322"/>
                        </a:xfrm>
                      </wpg:grpSpPr>
                      <wps:wsp>
                        <wps:cNvPr id="31" name="AutoShape 31"/>
                        <wps:cNvSpPr>
                          <a:spLocks/>
                        </wps:cNvSpPr>
                        <wps:spPr bwMode="auto">
                          <a:xfrm>
                            <a:off x="8100" y="3810"/>
                            <a:ext cx="240" cy="7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32"/>
                        <wps:cNvSpPr>
                          <a:spLocks/>
                        </wps:cNvSpPr>
                        <wps:spPr bwMode="auto">
                          <a:xfrm>
                            <a:off x="8100" y="4530"/>
                            <a:ext cx="218" cy="602"/>
                          </a:xfrm>
                          <a:prstGeom prst="rightBrace">
                            <a:avLst>
                              <a:gd name="adj1" fmla="val 230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2D5B5" id="Group 30" o:spid="_x0000_s1026" alt="grafika wskazująca, że wskaźniki (FNPV/C) i (FRR/C) to finansowy zwrot z inwestycji a wskaźniki (FNPV/K) i (FRR/K) to finansowy zwrot z kapitału krajowego" style="position:absolute;margin-left:364.4pt;margin-top:16.35pt;width:10.45pt;height:66.1pt;z-index:251661312" coordorigin="8100,3810" coordsize="24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7" type="#_x0000_t88" style="position:absolute;left:8100;top:3810;width: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mtm8UA&#10;AADbAAAADwAAAGRycy9kb3ducmV2LnhtbESP3WoCMRSE74W+QziF3mnWClK2RlFLobQW8QeKd8fN&#10;cbO4OVmS1F3f3hQKXg4z8w0zmXW2FhfyoXKsYDjIQBAXTldcKtjv3vsvIEJE1lg7JgVXCjCbPvQm&#10;mGvX8oYu21iKBOGQowITY5NLGQpDFsPANcTJOzlvMSbpS6k9tglua/mcZWNpseK0YLChpaHivP21&#10;Ck4HM3Kfq7evo/U/3/t6MV8f21Kpp8du/goiUhfv4f/2h1YwGsLf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a2bxQAAANsAAAAPAAAAAAAAAAAAAAAAAJgCAABkcnMv&#10;ZG93bnJldi54bWxQSwUGAAAAAAQABAD1AAAAigMAAAAA&#10;"/>
                <v:shape id="AutoShape 32" o:spid="_x0000_s1028" type="#_x0000_t88" style="position:absolute;left:8100;top:4530;width:218;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z7MUA&#10;AADbAAAADwAAAGRycy9kb3ducmV2LnhtbESP3WoCMRSE7wu+QziF3tVsFaRsjaIthaIW8QeKd8fN&#10;cbO4OVmS1F3f3hQKXg4z8w0znna2FhfyoXKs4KWfgSAunK64VLDffT6/gggRWWPtmBRcKcB00nsY&#10;Y65dyxu6bGMpEoRDjgpMjE0uZSgMWQx91xAn7+S8xZikL6X22Ca4reUgy0bSYsVpwWBD74aK8/bX&#10;KjgdzNAtVh/Lo/U/3/t6Plsf21Kpp8du9gYiUhfv4f/2l1YwHMDfl/Q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zPsxQAAANsAAAAPAAAAAAAAAAAAAAAAAJgCAABkcnMv&#10;ZG93bnJldi54bWxQSwUGAAAAAAQABAD1AAAAigMAAAAA&#10;"/>
              </v:group>
            </w:pict>
          </mc:Fallback>
        </mc:AlternateContent>
      </w:r>
      <w:r w:rsidRPr="004B77D6">
        <w:rPr>
          <w:rFonts w:ascii="Calibri" w:hAnsi="Calibri" w:cs="Arial"/>
          <w:sz w:val="24"/>
        </w:rPr>
        <w:t>Wskaźniki efektywności finansowej projektu to:</w:t>
      </w:r>
    </w:p>
    <w:p w14:paraId="7C28381D" w14:textId="77777777" w:rsidR="00C2071D" w:rsidRPr="004B77D6" w:rsidRDefault="00C2071D" w:rsidP="0089006E">
      <w:pPr>
        <w:pStyle w:val="Akapit"/>
        <w:numPr>
          <w:ilvl w:val="1"/>
          <w:numId w:val="35"/>
        </w:numPr>
        <w:tabs>
          <w:tab w:val="left" w:pos="360"/>
        </w:tabs>
        <w:spacing w:line="276" w:lineRule="auto"/>
        <w:ind w:hanging="357"/>
        <w:jc w:val="left"/>
        <w:rPr>
          <w:rFonts w:ascii="Calibri" w:hAnsi="Calibri" w:cs="Arial"/>
          <w:sz w:val="24"/>
        </w:rPr>
      </w:pPr>
      <w:r w:rsidRPr="004B77D6">
        <w:rPr>
          <w:rFonts w:ascii="Calibri" w:hAnsi="Calibri" w:cs="Arial"/>
          <w:sz w:val="24"/>
        </w:rPr>
        <w:t>finansowa bieżąca wartość netto inwestycji (FNPV/C),</w:t>
      </w:r>
    </w:p>
    <w:p w14:paraId="2DFDB41C" w14:textId="77777777" w:rsidR="00C2071D" w:rsidRPr="004B77D6" w:rsidRDefault="00C2071D" w:rsidP="0089006E">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60288" behindDoc="0" locked="0" layoutInCell="1" allowOverlap="1" wp14:anchorId="3E5053C2" wp14:editId="2AAA0588">
                <wp:simplePos x="0" y="0"/>
                <wp:positionH relativeFrom="column">
                  <wp:posOffset>4760595</wp:posOffset>
                </wp:positionH>
                <wp:positionV relativeFrom="paragraph">
                  <wp:posOffset>139700</wp:posOffset>
                </wp:positionV>
                <wp:extent cx="1101725" cy="374650"/>
                <wp:effectExtent l="12700" t="9525" r="9525" b="635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74650"/>
                        </a:xfrm>
                        <a:prstGeom prst="rect">
                          <a:avLst/>
                        </a:prstGeom>
                        <a:solidFill>
                          <a:srgbClr val="FFFFFF"/>
                        </a:solidFill>
                        <a:ln w="9525">
                          <a:solidFill>
                            <a:srgbClr val="000000"/>
                          </a:solidFill>
                          <a:miter lim="800000"/>
                          <a:headEnd/>
                          <a:tailEnd/>
                        </a:ln>
                      </wps:spPr>
                      <wps:txbx>
                        <w:txbxContent>
                          <w:p w14:paraId="165509F1" w14:textId="77777777" w:rsidR="00044260" w:rsidRPr="005A3B8B" w:rsidRDefault="00044260" w:rsidP="00C2071D">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53C2" id="Text Box 29" o:spid="_x0000_s1027" type="#_x0000_t202" style="position:absolute;left:0;text-align:left;margin-left:374.85pt;margin-top:11pt;width:86.7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">
                <v:textbox inset="0,,0">
                  <w:txbxContent>
                    <w:p w14:paraId="165509F1" w14:textId="77777777" w:rsidR="00044260" w:rsidRPr="005A3B8B" w:rsidRDefault="00044260" w:rsidP="00C2071D">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v:textbox>
              </v:shape>
            </w:pict>
          </mc:Fallback>
        </mc:AlternateContent>
      </w:r>
      <w:r w:rsidRPr="004B77D6">
        <w:rPr>
          <w:rFonts w:ascii="Calibri" w:hAnsi="Calibri" w:cs="Arial"/>
          <w:sz w:val="24"/>
        </w:rPr>
        <w:t>finansowa wewnętrzna stopa zwrotu z inwestycji (FRR/C),</w:t>
      </w:r>
    </w:p>
    <w:p w14:paraId="78F36E82" w14:textId="77777777" w:rsidR="00C2071D" w:rsidRPr="004B77D6" w:rsidRDefault="00C2071D" w:rsidP="0089006E">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sz w:val="24"/>
        </w:rPr>
        <w:t>finansowa bieżąca wartość netto kapitału krajowego (FNPV/K),</w:t>
      </w:r>
    </w:p>
    <w:p w14:paraId="2DE3775A" w14:textId="77777777" w:rsidR="00C2071D" w:rsidRPr="004B77D6" w:rsidRDefault="00C2071D" w:rsidP="0089006E">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sz w:val="24"/>
        </w:rPr>
        <w:t>finansowa wewnętrzna stopa zwrotu z kapitału krajowego (FRR/K).</w:t>
      </w:r>
    </w:p>
    <w:p w14:paraId="6AE57D0C" w14:textId="77777777" w:rsidR="00837BC5" w:rsidRPr="00837BC5" w:rsidRDefault="00837BC5" w:rsidP="0089006E">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Dla wszystkich projektów inwestycyjnych, w przypadku których dla uzyskania dofinansowania wymagane jest przedłożenie studium wykonalności lub Innego Dokumentu (patrz: Rozdział 2, pkt 1), należy wyliczyć 2 pierwsze wskaźniki, tj. FNPV/C i FRR/C. Wskaźniki FNPV/K i FRR/K – dla projektów/typów projektów określonych przez instytucję zarządzającą w dokumentacji programu lub naboru.</w:t>
      </w:r>
    </w:p>
    <w:p w14:paraId="5C0C6A33" w14:textId="77777777" w:rsidR="00837BC5" w:rsidRPr="00837BC5" w:rsidRDefault="00837BC5" w:rsidP="0089006E">
      <w:pPr>
        <w:pStyle w:val="Akapit"/>
        <w:numPr>
          <w:ilvl w:val="0"/>
          <w:numId w:val="35"/>
        </w:numPr>
        <w:spacing w:after="120" w:line="276" w:lineRule="auto"/>
        <w:jc w:val="left"/>
        <w:rPr>
          <w:rFonts w:ascii="Calibri" w:hAnsi="Calibri" w:cs="Arial"/>
          <w:b/>
          <w:sz w:val="24"/>
        </w:rPr>
      </w:pPr>
      <w:r w:rsidRPr="00837BC5">
        <w:rPr>
          <w:rFonts w:ascii="Calibri" w:hAnsi="Calibri" w:cs="Arial"/>
          <w:sz w:val="24"/>
          <w:lang w:val="pl-PL"/>
        </w:rPr>
        <w:t>Efektywność finansowa inwestycji może być oceniona przez oszacowanie FNPV/C i FRR/C. Wskaźniki te obrazują zdolność wpływów z projektu do pokrycia wydatków z nim związanych. W tym celu jako wpływy projektu przyjmuje się wyłącznie przychody oraz wartość rezydualną. Pozostałe wpływy, np. dotacje o charakterze operacyjnym należy traktować jako jedno ze źródeł finansowania i uwzględnić we wpływach całkowitych w analizie trwałości finansowej projektu.</w:t>
      </w:r>
    </w:p>
    <w:p w14:paraId="32DE7165" w14:textId="77777777" w:rsidR="00837BC5" w:rsidRPr="00837BC5" w:rsidRDefault="00837BC5" w:rsidP="0089006E">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FNPV/C jest sumą zdyskontowanych strumieni pieniężnych netto generowanych przez projekt. FRR/C jest stopą dyskontową, przy której wartość FNPV/C wynosi zero, tzn. bieżąca wartość przychodów jest równa bieżącej wartości kosztów projektu.</w:t>
      </w:r>
    </w:p>
    <w:p w14:paraId="36796F97" w14:textId="1FE0629D" w:rsidR="00837BC5" w:rsidRPr="00837BC5" w:rsidRDefault="00837BC5" w:rsidP="0089006E">
      <w:pPr>
        <w:pStyle w:val="Akapit"/>
        <w:keepNext w:val="0"/>
        <w:numPr>
          <w:ilvl w:val="0"/>
          <w:numId w:val="35"/>
        </w:numPr>
        <w:spacing w:after="120" w:line="276" w:lineRule="auto"/>
        <w:jc w:val="left"/>
        <w:rPr>
          <w:rFonts w:ascii="Calibri" w:hAnsi="Calibri" w:cs="Arial"/>
          <w:b/>
          <w:sz w:val="24"/>
        </w:rPr>
      </w:pPr>
      <w:r w:rsidRPr="00837BC5">
        <w:rPr>
          <w:rFonts w:ascii="Calibri" w:hAnsi="Calibri" w:cs="Arial"/>
          <w:sz w:val="24"/>
          <w:lang w:val="pl-PL"/>
        </w:rPr>
        <w:t xml:space="preserve">Zgodnie z art. 73 ust. 2 lit. c rozporządzenia nr 2021/1060, projekty wybrane do wsparcia powinny charakteryzować się najkorzystniejszą relacją między kwotą wsparcia, podejmowanymi działaniami i celami, które mają być osiągnięte w wyniku 41 ich realizacji. Co do zasady, dla projektu wymagającego dofinansowania z funduszy UE wskaźnik FNPV/C przed otrzymaniem wkładu z UE powinien mieć wartość ujemną, a FRR/C – niższą od stopy dyskontowej użytej w analizie finansowej. Taka wartość </w:t>
      </w:r>
      <w:r w:rsidRPr="00837BC5">
        <w:rPr>
          <w:rFonts w:ascii="Calibri" w:hAnsi="Calibri" w:cs="Arial"/>
          <w:sz w:val="24"/>
          <w:lang w:val="pl-PL"/>
        </w:rPr>
        <w:lastRenderedPageBreak/>
        <w:t>wskaźników oznacza, że bieżąca wartość przyszłych przychodów nie pokrywa bieżącej wartości kosztów projektu. Odstępstwo od tej zasady może wynikać ze specyfiki projektu19 , np. znacznego poziomu ryzyka związanego z wysokim poziomem innowacyjności, jak również faktu objęcia projektu pomocą publiczną.</w:t>
      </w:r>
    </w:p>
    <w:p w14:paraId="60879062" w14:textId="339D3277" w:rsidR="00837BC5" w:rsidRPr="00837BC5" w:rsidRDefault="00837BC5" w:rsidP="0089006E">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Finansowa bieżąca wartość netto kapitału (FNPV/K) jest sumą zdyskontowanych strumieni pieniężnych netto wygenerowanych dla beneficjenta w wyniku realizacji inwestycji. FRR/K jest równa stopie dyskontowej, dla której wartość FNPV/K wynosi zero. Projekt uznaje się za efektywny dla podmiotu realizującego projekt, jeżeli wskaźnik FNPV/K jest dodatni, co świadczy o tym, iż zdyskontowane wpływy przewyższają zdyskontowane wydatki związane z projektem</w:t>
      </w:r>
      <w:r>
        <w:rPr>
          <w:rFonts w:ascii="Calibri" w:hAnsi="Calibri" w:cs="Arial"/>
          <w:sz w:val="24"/>
          <w:lang w:val="pl-PL"/>
        </w:rPr>
        <w:t>.</w:t>
      </w:r>
    </w:p>
    <w:p w14:paraId="6AB47EEF" w14:textId="1EC02557" w:rsidR="00837BC5" w:rsidRPr="00837BC5" w:rsidRDefault="00837BC5" w:rsidP="0089006E">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rPr>
        <w:t xml:space="preserve">Biorąc pod uwagę przepis art. 73 ust. 2 lit. c rozporządzenia nr 2021/1060 (patrz: punkt 6) co do zasady, w przypadku projektu wymagającego wkładu z funduszy UE, wskaźnik FNPV/K ze wsparciem unijnym powinien mieć wartość ujemną lub równać się zeru, natomiast FRR(K) powinna być niższa lub równa stopie dyskontowej. W uzasadnionych przypadkach dopuszcza się odstępstwa od tej zasady, m.in. może mieć to miejsce </w:t>
      </w:r>
      <w:r>
        <w:rPr>
          <w:rFonts w:ascii="Calibri" w:hAnsi="Calibri" w:cs="Arial"/>
          <w:sz w:val="24"/>
        </w:rPr>
        <w:br/>
      </w:r>
      <w:r w:rsidRPr="00837BC5">
        <w:rPr>
          <w:rFonts w:ascii="Calibri" w:hAnsi="Calibri" w:cs="Arial"/>
          <w:sz w:val="24"/>
        </w:rPr>
        <w:t xml:space="preserve">w przypadkach wskazanych w </w:t>
      </w:r>
      <w:bookmarkStart w:id="26" w:name="_Hlk129938304"/>
      <w:r w:rsidRPr="00837BC5">
        <w:rPr>
          <w:rFonts w:ascii="Calibri" w:hAnsi="Calibri" w:cs="Arial"/>
          <w:i/>
          <w:sz w:val="24"/>
        </w:rPr>
        <w:t xml:space="preserve">Wytycznych w zakresie zagadnień związanych </w:t>
      </w:r>
      <w:r w:rsidRPr="00837BC5">
        <w:rPr>
          <w:rFonts w:ascii="Calibri" w:hAnsi="Calibri" w:cs="Arial"/>
          <w:i/>
          <w:sz w:val="24"/>
        </w:rPr>
        <w:br/>
        <w:t>z przygotowaniem projektów inwestycyjnych, w tym hybrydowych na lata 2021-2027</w:t>
      </w:r>
      <w:bookmarkEnd w:id="26"/>
      <w:r w:rsidRPr="00837BC5">
        <w:rPr>
          <w:rFonts w:ascii="Calibri" w:hAnsi="Calibri" w:cs="Arial"/>
          <w:b/>
          <w:i/>
          <w:sz w:val="24"/>
        </w:rPr>
        <w:t>.</w:t>
      </w:r>
    </w:p>
    <w:p w14:paraId="42994AAA" w14:textId="6128F7FD" w:rsidR="00C2071D" w:rsidRPr="00837BC5" w:rsidRDefault="00C2071D" w:rsidP="0089006E">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rPr>
        <w:t xml:space="preserve">Zestawienie kategorii przepływów pieniężnych branych pod uwagę w celu wyliczenia poszczególnych wskaźników efektywności finansowej oraz wzory do obliczenia powyższych wskaźników zostały przedstawione w Załączniku 1 do </w:t>
      </w:r>
      <w:r w:rsidR="00837BC5" w:rsidRPr="00837BC5">
        <w:rPr>
          <w:rFonts w:ascii="Calibri" w:hAnsi="Calibri" w:cs="Arial"/>
          <w:i/>
          <w:sz w:val="24"/>
          <w:lang w:val="pl-PL"/>
        </w:rPr>
        <w:t>Wytycznych w zakresie zagadnień związanych z przygotowaniem projektów inwestycyjnych, w tym hybrydowych na lata 2021-2027</w:t>
      </w:r>
      <w:r w:rsidRPr="00837BC5">
        <w:rPr>
          <w:rFonts w:ascii="Calibri" w:hAnsi="Calibri" w:cs="Arial"/>
          <w:sz w:val="24"/>
        </w:rPr>
        <w:t xml:space="preserve">, jak również w </w:t>
      </w:r>
      <w:r w:rsidRPr="00837BC5">
        <w:rPr>
          <w:rFonts w:ascii="Calibri" w:hAnsi="Calibri" w:cs="Arial"/>
          <w:i/>
          <w:sz w:val="24"/>
        </w:rPr>
        <w:t>Przewodniku AKK</w:t>
      </w:r>
      <w:r w:rsidRPr="00837BC5">
        <w:rPr>
          <w:rFonts w:ascii="Calibri" w:hAnsi="Calibri" w:cs="Arial"/>
          <w:sz w:val="24"/>
        </w:rPr>
        <w:t xml:space="preserve">. </w:t>
      </w:r>
    </w:p>
    <w:p w14:paraId="0DD22E7B" w14:textId="77777777" w:rsidR="00C2071D" w:rsidRPr="004B77D6" w:rsidRDefault="00C2071D" w:rsidP="00C2071D">
      <w:pPr>
        <w:numPr>
          <w:ilvl w:val="3"/>
          <w:numId w:val="7"/>
        </w:numPr>
        <w:spacing w:before="240" w:after="120" w:line="276" w:lineRule="auto"/>
        <w:ind w:hanging="1381"/>
        <w:rPr>
          <w:rFonts w:ascii="Calibri" w:hAnsi="Calibri" w:cs="Arial"/>
          <w:b/>
          <w:szCs w:val="24"/>
        </w:rPr>
      </w:pPr>
      <w:r w:rsidRPr="004B77D6">
        <w:rPr>
          <w:rFonts w:ascii="Calibri" w:hAnsi="Calibri" w:cs="Arial"/>
          <w:b/>
          <w:szCs w:val="24"/>
        </w:rPr>
        <w:t>Analiza trwałości finansowej</w:t>
      </w:r>
    </w:p>
    <w:p w14:paraId="534DEC8A" w14:textId="6F7EF87E" w:rsidR="00C2071D" w:rsidRPr="004B77D6" w:rsidRDefault="005E7CD2"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5E7CD2">
        <w:rPr>
          <w:rFonts w:ascii="Calibri" w:hAnsi="Calibri" w:cs="Arial"/>
          <w:color w:val="000000"/>
          <w:szCs w:val="24"/>
        </w:rPr>
        <w:t xml:space="preserve">Zgodnie z art. 73 ust. 2 lit. d rozporządzenia nr 2021/1060 analiza trwałości finansowej projektu polega na wykazaniu, że beneficjent dysponuje niezbędnymi zasobami, aby pokryć koszty eksploatacji i utrzymania inwestycji realizowanej w ramach projektu zarówno na etapie inwestycyjnym, jak i operacyjnym. Analizę trwałości należy przeprowadzić dla wszystkich projektów obejmujących inwestycje w infrastrukturę lub inwestycje produkcyjne, w przypadku których dla uzyskania dofinansowania wymagane jest przedłożenie </w:t>
      </w:r>
      <w:r>
        <w:rPr>
          <w:rFonts w:ascii="Calibri" w:hAnsi="Calibri" w:cs="Arial"/>
          <w:color w:val="000000"/>
          <w:szCs w:val="24"/>
        </w:rPr>
        <w:t>S</w:t>
      </w:r>
      <w:r w:rsidRPr="005E7CD2">
        <w:rPr>
          <w:rFonts w:ascii="Calibri" w:hAnsi="Calibri" w:cs="Arial"/>
          <w:color w:val="000000"/>
          <w:szCs w:val="24"/>
        </w:rPr>
        <w:t xml:space="preserve">tudium </w:t>
      </w:r>
      <w:r>
        <w:rPr>
          <w:rFonts w:ascii="Calibri" w:hAnsi="Calibri" w:cs="Arial"/>
          <w:color w:val="000000"/>
          <w:szCs w:val="24"/>
        </w:rPr>
        <w:t>W</w:t>
      </w:r>
      <w:r w:rsidRPr="005E7CD2">
        <w:rPr>
          <w:rFonts w:ascii="Calibri" w:hAnsi="Calibri" w:cs="Arial"/>
          <w:color w:val="000000"/>
          <w:szCs w:val="24"/>
        </w:rPr>
        <w:t xml:space="preserve">ykonalności </w:t>
      </w:r>
      <w:r>
        <w:rPr>
          <w:rFonts w:ascii="Calibri" w:hAnsi="Calibri" w:cs="Arial"/>
          <w:color w:val="000000"/>
          <w:szCs w:val="24"/>
        </w:rPr>
        <w:t>Inwestycji.</w:t>
      </w:r>
    </w:p>
    <w:p w14:paraId="6F784B63" w14:textId="77777777" w:rsidR="00C2071D" w:rsidRPr="004B77D6" w:rsidRDefault="00C2071D"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Analiza trwałości finansowej projektu powinna obejmować co najmniej następujące działania: </w:t>
      </w:r>
    </w:p>
    <w:p w14:paraId="74F10C53" w14:textId="77777777" w:rsidR="00C2071D" w:rsidRPr="004B77D6" w:rsidRDefault="00C2071D" w:rsidP="0089006E">
      <w:pPr>
        <w:numPr>
          <w:ilvl w:val="0"/>
          <w:numId w:val="48"/>
        </w:numPr>
        <w:tabs>
          <w:tab w:val="left" w:pos="360"/>
        </w:tabs>
        <w:suppressAutoHyphens w:val="0"/>
        <w:autoSpaceDE w:val="0"/>
        <w:autoSpaceDN w:val="0"/>
        <w:adjustRightInd w:val="0"/>
        <w:spacing w:after="120" w:line="276" w:lineRule="auto"/>
        <w:ind w:left="1080"/>
        <w:rPr>
          <w:rFonts w:ascii="Calibri" w:hAnsi="Calibri" w:cs="Arial"/>
          <w:color w:val="000000"/>
          <w:szCs w:val="24"/>
        </w:rPr>
      </w:pPr>
      <w:r w:rsidRPr="004B77D6">
        <w:rPr>
          <w:rFonts w:ascii="Calibri" w:hAnsi="Calibri" w:cs="Arial"/>
          <w:color w:val="000000"/>
          <w:szCs w:val="24"/>
        </w:rPr>
        <w:t xml:space="preserve">analizę zasobów finansowych projektu, </w:t>
      </w:r>
    </w:p>
    <w:p w14:paraId="5E72B3A0" w14:textId="77777777" w:rsidR="00C2071D" w:rsidRPr="004B77D6" w:rsidRDefault="00C2071D" w:rsidP="0089006E">
      <w:pPr>
        <w:numPr>
          <w:ilvl w:val="0"/>
          <w:numId w:val="48"/>
        </w:numPr>
        <w:tabs>
          <w:tab w:val="left" w:pos="360"/>
        </w:tabs>
        <w:suppressAutoHyphens w:val="0"/>
        <w:autoSpaceDE w:val="0"/>
        <w:autoSpaceDN w:val="0"/>
        <w:adjustRightInd w:val="0"/>
        <w:spacing w:after="120" w:line="276" w:lineRule="auto"/>
        <w:ind w:left="1080"/>
        <w:rPr>
          <w:rFonts w:ascii="Calibri" w:hAnsi="Calibri" w:cs="Arial"/>
          <w:color w:val="000000"/>
          <w:szCs w:val="24"/>
        </w:rPr>
      </w:pPr>
      <w:r w:rsidRPr="004B77D6">
        <w:rPr>
          <w:rFonts w:ascii="Calibri" w:hAnsi="Calibri" w:cs="Arial"/>
          <w:color w:val="000000"/>
          <w:szCs w:val="24"/>
        </w:rPr>
        <w:t xml:space="preserve">analizę sytuacji finansowej wnioskodawcy/operatora z projektem. </w:t>
      </w:r>
    </w:p>
    <w:p w14:paraId="7161FB7B" w14:textId="07FC29D5" w:rsidR="00C2071D" w:rsidRPr="004B77D6" w:rsidRDefault="005E7CD2"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5E7CD2">
        <w:rPr>
          <w:rFonts w:ascii="Calibri" w:hAnsi="Calibri" w:cs="Arial"/>
          <w:color w:val="000000"/>
          <w:szCs w:val="24"/>
        </w:rPr>
        <w:lastRenderedPageBreak/>
        <w:t>Analiza zasobów finansowych projektu zakłada dokonanie weryfikacji trwałości finansowej projektu i polega na zbadaniu salda niezdyskontowanych skumulowanych przepływów pieniężnych generowanych przez projekt, z uwzględnieniem dofinansowania projektu z funduszy UE. Projekt uznaje się za trwały finansowo, jeżeli saldo to jest większe bądź równe zeru we wszystkich latach objętych analizą. Oznacza to wówczas, że planowane wpływy (w tym z tytułu dofinansowania z funduszy UE) i wydatki zostały odpowiednio czasowo zharmonizowane tak, że przedsięwzięcie ma zapewnioną płynność finansową</w:t>
      </w:r>
      <w:r>
        <w:rPr>
          <w:rFonts w:ascii="Calibri" w:hAnsi="Calibri" w:cs="Arial"/>
          <w:color w:val="000000"/>
          <w:szCs w:val="24"/>
        </w:rPr>
        <w:t>.</w:t>
      </w:r>
    </w:p>
    <w:p w14:paraId="56F98F46" w14:textId="3ED2AF0E" w:rsidR="00C2071D" w:rsidRDefault="00C2071D"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Analiza sytuacji finansowej wnioskodawcy/operatora polega na sprawdzeniu trwałości finansowej nie tylko samego projektu, ale również wnioskodawcy/operatora </w:t>
      </w:r>
      <w:r w:rsidRPr="004B77D6">
        <w:rPr>
          <w:rFonts w:ascii="Calibri" w:hAnsi="Calibri" w:cs="Arial"/>
          <w:color w:val="000000"/>
          <w:szCs w:val="24"/>
        </w:rPr>
        <w:br/>
        <w:t xml:space="preserve">z projektem. Jeżeli operator zbankrutuje, trwałość samej inwestycji może stracić znaczenie. Analiza przepływów pieniężnych powinna wykazać, że beneficjent/operator </w:t>
      </w:r>
      <w:r w:rsidRPr="004B77D6">
        <w:rPr>
          <w:rFonts w:ascii="Calibri" w:hAnsi="Calibri" w:cs="Arial"/>
          <w:color w:val="000000"/>
          <w:szCs w:val="24"/>
        </w:rPr>
        <w:br/>
        <w:t xml:space="preserve">z projektem ma dodatnie roczne saldo przepływów pieniężnych na koniec każdego roku, we wszystkich latach objętych analizą. </w:t>
      </w:r>
    </w:p>
    <w:p w14:paraId="33927B23" w14:textId="47030338" w:rsidR="009370FF" w:rsidRPr="004B77D6" w:rsidRDefault="009370FF"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9370FF">
        <w:rPr>
          <w:rFonts w:ascii="Calibri" w:hAnsi="Calibri" w:cs="Arial"/>
          <w:color w:val="000000"/>
          <w:szCs w:val="24"/>
        </w:rPr>
        <w:t>Analizę trwałości finansowej przeprowadza się w wartościach niezdyskontowanych, w oparciu o ceny stałe lub bieżącego, zależnie od tego, w jakich cena prowadzona była analiza finansowa</w:t>
      </w:r>
      <w:r>
        <w:rPr>
          <w:rFonts w:ascii="Calibri" w:hAnsi="Calibri" w:cs="Arial"/>
          <w:color w:val="000000"/>
          <w:szCs w:val="24"/>
        </w:rPr>
        <w:t>.</w:t>
      </w:r>
    </w:p>
    <w:p w14:paraId="3EFA585B" w14:textId="77777777" w:rsidR="00C2071D" w:rsidRPr="004B77D6" w:rsidRDefault="00C2071D" w:rsidP="0089006E">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Przy analizie trwałości finansowej bierze się pod uwagę wszystkie przypływy pieniężne, </w:t>
      </w:r>
      <w:r w:rsidRPr="004B77D6">
        <w:rPr>
          <w:rFonts w:ascii="Calibri" w:hAnsi="Calibri" w:cs="Arial"/>
          <w:color w:val="000000"/>
          <w:szCs w:val="24"/>
        </w:rPr>
        <w:br/>
        <w:t>w tym również te wpływy na rzecz projektu, które nie stanowią przychodów np. dotacje o charakterze operacyjnym.</w:t>
      </w:r>
    </w:p>
    <w:p w14:paraId="61973B87" w14:textId="77777777" w:rsidR="00C2071D" w:rsidRPr="004B77D6" w:rsidRDefault="00C2071D" w:rsidP="00C2071D">
      <w:pPr>
        <w:pStyle w:val="Tekstpodstawowy22"/>
        <w:numPr>
          <w:ilvl w:val="3"/>
          <w:numId w:val="7"/>
        </w:numPr>
        <w:tabs>
          <w:tab w:val="clear" w:pos="1534"/>
        </w:tabs>
        <w:spacing w:before="360" w:after="120" w:line="276" w:lineRule="auto"/>
        <w:ind w:left="1701" w:hanging="981"/>
        <w:jc w:val="left"/>
        <w:rPr>
          <w:rFonts w:ascii="Calibri" w:hAnsi="Calibri" w:cs="Arial"/>
          <w:b/>
          <w:szCs w:val="24"/>
        </w:rPr>
      </w:pPr>
      <w:r w:rsidRPr="004B77D6">
        <w:rPr>
          <w:rFonts w:ascii="Calibri" w:hAnsi="Calibri" w:cs="Arial"/>
          <w:b/>
          <w:szCs w:val="24"/>
        </w:rPr>
        <w:t xml:space="preserve">Zestawienie kategorii przepływów pieniężnych branych pod uwagę </w:t>
      </w:r>
      <w:r w:rsidRPr="004B77D6">
        <w:rPr>
          <w:rFonts w:ascii="Calibri" w:hAnsi="Calibri" w:cs="Arial"/>
          <w:b/>
          <w:szCs w:val="24"/>
        </w:rPr>
        <w:br/>
        <w:t>w celu wyznaczenia wskaźników efektywności finansowej oraz wzory do obliczenia tych wskaźników</w:t>
      </w:r>
    </w:p>
    <w:p w14:paraId="01D38A54" w14:textId="77777777" w:rsidR="00C2071D" w:rsidRPr="004B77D6" w:rsidRDefault="00C2071D" w:rsidP="0089006E">
      <w:pPr>
        <w:pStyle w:val="Tekstpodstawowy22"/>
        <w:numPr>
          <w:ilvl w:val="0"/>
          <w:numId w:val="37"/>
        </w:numPr>
        <w:spacing w:after="120" w:line="276" w:lineRule="auto"/>
        <w:jc w:val="left"/>
        <w:rPr>
          <w:rFonts w:ascii="Calibri" w:hAnsi="Calibri" w:cs="Arial"/>
          <w:b/>
          <w:bCs/>
          <w:color w:val="000000"/>
          <w:szCs w:val="24"/>
        </w:rPr>
      </w:pPr>
      <w:r w:rsidRPr="004B77D6">
        <w:rPr>
          <w:rFonts w:ascii="Calibri" w:hAnsi="Calibri" w:cs="Arial"/>
          <w:b/>
          <w:bCs/>
          <w:color w:val="000000"/>
          <w:szCs w:val="24"/>
        </w:rPr>
        <w:t>Wskaźniki efektywności finansowej projektu</w:t>
      </w:r>
    </w:p>
    <w:p w14:paraId="2B6E7BA7" w14:textId="77777777" w:rsidR="00C2071D" w:rsidRPr="004B77D6" w:rsidRDefault="00C2071D" w:rsidP="0089006E">
      <w:pPr>
        <w:pStyle w:val="Tekstpodstawowy22"/>
        <w:numPr>
          <w:ilvl w:val="2"/>
          <w:numId w:val="31"/>
        </w:numPr>
        <w:tabs>
          <w:tab w:val="clear" w:pos="2520"/>
        </w:tabs>
        <w:spacing w:line="276" w:lineRule="auto"/>
        <w:ind w:left="1276" w:hanging="283"/>
        <w:jc w:val="left"/>
        <w:rPr>
          <w:rFonts w:ascii="Calibri" w:hAnsi="Calibri" w:cs="Arial"/>
          <w:color w:val="000000"/>
          <w:szCs w:val="24"/>
        </w:rPr>
      </w:pPr>
      <w:r w:rsidRPr="004B77D6">
        <w:rPr>
          <w:rFonts w:ascii="Calibri" w:hAnsi="Calibri" w:cs="Arial"/>
          <w:color w:val="000000"/>
          <w:szCs w:val="24"/>
        </w:rPr>
        <w:t>Kategorie przepływów pieniężnych branych pod uwagę w celu wyliczenia wskaźników efektywności finansowej.</w:t>
      </w:r>
    </w:p>
    <w:p w14:paraId="488A85EB" w14:textId="77777777" w:rsidR="00C2071D" w:rsidRPr="004B77D6" w:rsidRDefault="00C2071D" w:rsidP="00C2071D">
      <w:pPr>
        <w:pStyle w:val="Tekstpodstawowy22"/>
        <w:spacing w:line="276" w:lineRule="auto"/>
        <w:ind w:left="1276"/>
        <w:jc w:val="left"/>
        <w:rPr>
          <w:rFonts w:ascii="Calibri" w:hAnsi="Calibri" w:cs="Arial"/>
          <w:color w:val="000000"/>
          <w:szCs w:val="24"/>
        </w:rPr>
      </w:pPr>
    </w:p>
    <w:p w14:paraId="05406776" w14:textId="77777777" w:rsidR="00C2071D" w:rsidRPr="004B77D6" w:rsidRDefault="00C2071D" w:rsidP="00C2071D">
      <w:pPr>
        <w:pStyle w:val="Tekstpodstawowy22"/>
        <w:spacing w:line="276" w:lineRule="auto"/>
        <w:jc w:val="left"/>
        <w:rPr>
          <w:rFonts w:ascii="Calibri" w:hAnsi="Calibri" w:cs="Arial"/>
          <w:b/>
          <w:color w:val="000000"/>
          <w:szCs w:val="24"/>
        </w:rPr>
      </w:pPr>
      <w:r w:rsidRPr="004B77D6">
        <w:rPr>
          <w:rFonts w:ascii="Calibri" w:hAnsi="Calibri" w:cs="Arial"/>
          <w:b/>
          <w:color w:val="000000"/>
          <w:szCs w:val="24"/>
        </w:rPr>
        <w:t>FNPV/C, FRR/C:</w:t>
      </w:r>
    </w:p>
    <w:p w14:paraId="12CDBA3D"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796E7B9E"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1E8944DA"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 xml:space="preserve">Koszty operacyjne, </w:t>
      </w:r>
    </w:p>
    <w:p w14:paraId="13231AC4"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Zmiany w kapitale obrotowym netto w całym okresie odniesienia – fazie inwestycyjnej i operacyjnej</w:t>
      </w:r>
      <w:r w:rsidRPr="004B77D6" w:rsidDel="00173EE3">
        <w:rPr>
          <w:rFonts w:ascii="Calibri" w:hAnsi="Calibri" w:cs="Arial"/>
          <w:color w:val="000000"/>
          <w:szCs w:val="24"/>
        </w:rPr>
        <w:t xml:space="preserve"> </w:t>
      </w:r>
      <w:r w:rsidRPr="004B77D6">
        <w:rPr>
          <w:rFonts w:ascii="Calibri" w:hAnsi="Calibri" w:cs="Arial"/>
          <w:color w:val="000000"/>
          <w:szCs w:val="24"/>
        </w:rPr>
        <w:t>(w uzasadnionych przypadkach),</w:t>
      </w:r>
    </w:p>
    <w:p w14:paraId="44C69430"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w:t>
      </w:r>
    </w:p>
    <w:p w14:paraId="112FDE1E" w14:textId="77777777" w:rsidR="00C2071D" w:rsidRPr="004B77D6" w:rsidRDefault="00C2071D" w:rsidP="0089006E">
      <w:pPr>
        <w:pStyle w:val="Tekstpodstawowy22"/>
        <w:numPr>
          <w:ilvl w:val="0"/>
          <w:numId w:val="32"/>
        </w:numPr>
        <w:spacing w:after="240" w:line="276" w:lineRule="auto"/>
        <w:jc w:val="left"/>
        <w:rPr>
          <w:rFonts w:ascii="Calibri" w:hAnsi="Calibri" w:cs="Arial"/>
          <w:color w:val="000000"/>
          <w:szCs w:val="24"/>
        </w:rPr>
      </w:pPr>
      <w:r w:rsidRPr="004B77D6">
        <w:rPr>
          <w:rFonts w:ascii="Calibri" w:hAnsi="Calibri" w:cs="Arial"/>
          <w:color w:val="000000"/>
          <w:szCs w:val="24"/>
        </w:rPr>
        <w:t>Nakłady inwestycyjne na realizację projektu.</w:t>
      </w:r>
    </w:p>
    <w:p w14:paraId="7468CEDB" w14:textId="77777777" w:rsidR="00C2071D" w:rsidRPr="004B77D6" w:rsidRDefault="00C2071D" w:rsidP="00C2071D">
      <w:pPr>
        <w:pStyle w:val="Tekstpodstawowy22"/>
        <w:spacing w:before="120" w:line="276" w:lineRule="auto"/>
        <w:jc w:val="left"/>
        <w:rPr>
          <w:rFonts w:ascii="Calibri" w:hAnsi="Calibri" w:cs="Arial"/>
          <w:b/>
          <w:color w:val="000000"/>
          <w:szCs w:val="24"/>
        </w:rPr>
      </w:pPr>
      <w:r w:rsidRPr="004B77D6">
        <w:rPr>
          <w:rFonts w:ascii="Calibri" w:hAnsi="Calibri" w:cs="Arial"/>
          <w:b/>
          <w:color w:val="000000"/>
          <w:szCs w:val="24"/>
        </w:rPr>
        <w:lastRenderedPageBreak/>
        <w:t>FNPV/K, FRR/K:</w:t>
      </w:r>
    </w:p>
    <w:p w14:paraId="73D49CF8"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3E96C836"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398B8BAC"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Koszty operacyjne,</w:t>
      </w:r>
    </w:p>
    <w:p w14:paraId="397A06F9"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 o ile nie uwzględniono ich w ramach pozycji „Wkład krajowy”,</w:t>
      </w:r>
    </w:p>
    <w:p w14:paraId="196A4EDC"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Koszty finansowania, w tym odsetki,</w:t>
      </w:r>
    </w:p>
    <w:p w14:paraId="1E5FFD94"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Spłaty kredytów,</w:t>
      </w:r>
    </w:p>
    <w:p w14:paraId="638FDE52" w14:textId="77777777" w:rsidR="00C2071D" w:rsidRPr="004B77D6" w:rsidRDefault="00C2071D" w:rsidP="0089006E">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 xml:space="preserve">Wkład krajowy (publiczny lub prywatny), w uzasadnionych przypadkach  uwzględniający zmiany w kapitale obrotowym netto w całym okresie odniesienia </w:t>
      </w:r>
      <w:r w:rsidRPr="004B77D6">
        <w:rPr>
          <w:rFonts w:ascii="Calibri" w:hAnsi="Calibri" w:cs="Arial"/>
          <w:color w:val="000000"/>
          <w:szCs w:val="24"/>
        </w:rPr>
        <w:br/>
        <w:t>– fazie inwestycyjnej i operacyjnej.</w:t>
      </w:r>
    </w:p>
    <w:p w14:paraId="2150DB8A"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3602F841" w14:textId="77777777" w:rsidR="00C2071D" w:rsidRPr="004B77D6" w:rsidRDefault="00C2071D" w:rsidP="00C2071D">
      <w:pPr>
        <w:pStyle w:val="Tekstpodstawowy22"/>
        <w:spacing w:line="276" w:lineRule="auto"/>
        <w:jc w:val="left"/>
        <w:rPr>
          <w:rFonts w:ascii="Calibri" w:hAnsi="Calibri" w:cs="Arial"/>
          <w:color w:val="000000"/>
          <w:szCs w:val="24"/>
        </w:rPr>
      </w:pPr>
      <w:r w:rsidRPr="004B77D6">
        <w:rPr>
          <w:rFonts w:ascii="Calibri" w:hAnsi="Calibri" w:cs="Arial"/>
          <w:color w:val="000000"/>
          <w:szCs w:val="24"/>
        </w:rPr>
        <w:t xml:space="preserve">Uwaga: w kalkulacji FNPV/K oraz FRR/K nie bierze się pod uwagę wartości dofinansowania </w:t>
      </w:r>
      <w:r w:rsidRPr="004B77D6">
        <w:rPr>
          <w:rFonts w:ascii="Calibri" w:hAnsi="Calibri" w:cs="Arial"/>
          <w:color w:val="000000"/>
          <w:szCs w:val="24"/>
        </w:rPr>
        <w:br/>
        <w:t>z funduszy UE, gdyż celem ustalenia wartości FNPV/K i FRR/K jest ustalenie zwrotu i wartości bieżącej kapitału krajowego zainwestowanego w projekt.</w:t>
      </w:r>
    </w:p>
    <w:p w14:paraId="2AFA9527" w14:textId="77777777" w:rsidR="00C2071D" w:rsidRPr="004B77D6" w:rsidRDefault="00C2071D" w:rsidP="00C2071D">
      <w:pPr>
        <w:pStyle w:val="Tekstpodstawowy22"/>
        <w:spacing w:line="276" w:lineRule="auto"/>
        <w:jc w:val="left"/>
        <w:rPr>
          <w:rFonts w:ascii="Calibri" w:hAnsi="Calibri" w:cs="Arial"/>
          <w:color w:val="000000"/>
          <w:szCs w:val="24"/>
        </w:rPr>
      </w:pPr>
    </w:p>
    <w:p w14:paraId="6A38D434" w14:textId="77777777" w:rsidR="00C2071D" w:rsidRPr="004B77D6" w:rsidRDefault="00C2071D" w:rsidP="0089006E">
      <w:pPr>
        <w:pStyle w:val="Tekstpodstawowy22"/>
        <w:numPr>
          <w:ilvl w:val="2"/>
          <w:numId w:val="31"/>
        </w:numPr>
        <w:tabs>
          <w:tab w:val="clear" w:pos="2520"/>
        </w:tabs>
        <w:spacing w:line="276" w:lineRule="auto"/>
        <w:ind w:left="709" w:hanging="425"/>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2131C355" w14:textId="77777777" w:rsidR="00C2071D" w:rsidRPr="004B77D6" w:rsidRDefault="00C2071D" w:rsidP="00C2071D">
      <w:pPr>
        <w:pStyle w:val="Tekstpodstawowy22"/>
        <w:spacing w:line="276" w:lineRule="auto"/>
        <w:ind w:left="720"/>
        <w:jc w:val="left"/>
        <w:rPr>
          <w:rFonts w:ascii="Calibri" w:hAnsi="Calibri" w:cs="Arial"/>
          <w:b/>
          <w:color w:val="000000"/>
          <w:szCs w:val="24"/>
        </w:rPr>
      </w:pPr>
    </w:p>
    <w:p w14:paraId="0D1F51B3"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FNPV/C Finansowa bieżąca wartość netto inwestycji</w:t>
      </w:r>
    </w:p>
    <w:p w14:paraId="058DEDE3"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r>
    </w:p>
    <w:p w14:paraId="30EBD73C"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57A2F3E4" wp14:editId="21736897">
            <wp:extent cx="3676650" cy="457200"/>
            <wp:effectExtent l="0" t="0" r="0" b="0"/>
            <wp:docPr id="23" name="Obraz 23" descr="Wzór na obliczenie fina nsowej bieżącej wartości netto inwestycji" title="Wzór na obliczenie fina nsowej bieżącej wartości netto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6650" cy="457200"/>
                    </a:xfrm>
                    <a:prstGeom prst="rect">
                      <a:avLst/>
                    </a:prstGeom>
                    <a:noFill/>
                    <a:ln>
                      <a:noFill/>
                    </a:ln>
                  </pic:spPr>
                </pic:pic>
              </a:graphicData>
            </a:graphic>
          </wp:inline>
        </w:drawing>
      </w:r>
    </w:p>
    <w:p w14:paraId="62ACF45C"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202745EA"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1DB1E958"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4D518572"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finansowy współczynnik dyskontowy,</w:t>
      </w:r>
    </w:p>
    <w:p w14:paraId="4B795442"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3803EDF" wp14:editId="49F8DEEE">
            <wp:extent cx="800100" cy="428625"/>
            <wp:effectExtent l="0" t="0" r="0" b="9525"/>
            <wp:docPr id="22" name="Obraz 22"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08A24CC2"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55676DB7"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7BE8EB01"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FRR/C</w:t>
      </w:r>
      <w:r w:rsidRPr="004B77D6">
        <w:rPr>
          <w:rFonts w:ascii="Calibri" w:hAnsi="Calibri" w:cs="Arial"/>
          <w:b/>
          <w:color w:val="000000"/>
          <w:szCs w:val="24"/>
        </w:rPr>
        <w:tab/>
        <w:t xml:space="preserve"> Finansowa wewnętrzna stopa zwrotu z inwestycji</w:t>
      </w:r>
    </w:p>
    <w:p w14:paraId="318C8A4A"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77A1F559"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B8D3C35" wp14:editId="244B9EBD">
            <wp:extent cx="1971675" cy="400050"/>
            <wp:effectExtent l="0" t="0" r="9525" b="0"/>
            <wp:docPr id="21" name="Obraz 21" title="Wzór na obliczenie finansowej wewnętrznej stopy zwrotu z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400050"/>
                    </a:xfrm>
                    <a:prstGeom prst="rect">
                      <a:avLst/>
                    </a:prstGeom>
                    <a:noFill/>
                    <a:ln>
                      <a:noFill/>
                    </a:ln>
                  </pic:spPr>
                </pic:pic>
              </a:graphicData>
            </a:graphic>
          </wp:inline>
        </w:drawing>
      </w:r>
    </w:p>
    <w:p w14:paraId="1B4E4794"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251CB024"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589E1178"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lastRenderedPageBreak/>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431111DE"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00E7535C"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45759E81"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FNPV/K Finansowa bieżąca wartość netto kapitału</w:t>
      </w:r>
    </w:p>
    <w:p w14:paraId="4C4E898A"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7BFF4DCB"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4157847" wp14:editId="46B3F770">
            <wp:extent cx="3771900" cy="457200"/>
            <wp:effectExtent l="0" t="0" r="0" b="0"/>
            <wp:docPr id="20" name="Obraz 20" title="Wzór na obliczenie finansowej bieżącej wartości netto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1900" cy="457200"/>
                    </a:xfrm>
                    <a:prstGeom prst="rect">
                      <a:avLst/>
                    </a:prstGeom>
                    <a:noFill/>
                    <a:ln>
                      <a:noFill/>
                    </a:ln>
                  </pic:spPr>
                </pic:pic>
              </a:graphicData>
            </a:graphic>
          </wp:inline>
        </w:drawing>
      </w:r>
    </w:p>
    <w:p w14:paraId="0C585CB6"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34E95E40"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t>
      </w:r>
      <w:r w:rsidRPr="004B77D6">
        <w:rPr>
          <w:rFonts w:ascii="Calibri" w:hAnsi="Calibri" w:cs="Arial"/>
          <w:color w:val="000000"/>
          <w:szCs w:val="24"/>
        </w:rPr>
        <w:br/>
        <w:t xml:space="preserve">w poszczególnych latach przyjętego okresu odniesienia analizy generowane </w:t>
      </w:r>
      <w:r w:rsidRPr="004B77D6">
        <w:rPr>
          <w:rFonts w:ascii="Calibri" w:hAnsi="Calibri" w:cs="Arial"/>
          <w:color w:val="000000"/>
          <w:szCs w:val="24"/>
        </w:rPr>
        <w:br/>
        <w:t>w związku z wdrożeniem projektu,</w:t>
      </w:r>
    </w:p>
    <w:p w14:paraId="77D19690"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3E89FFEF"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finansowy współczynnik dyskontowy,</w:t>
      </w:r>
    </w:p>
    <w:p w14:paraId="4F2C43C6"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1284DA5" wp14:editId="02377123">
            <wp:extent cx="790575" cy="428625"/>
            <wp:effectExtent l="0" t="0" r="0" b="0"/>
            <wp:docPr id="19" name="Obraz 19"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14:paraId="7030D580"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1C7B6FC9"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FRR/K</w:t>
      </w:r>
      <w:r w:rsidRPr="004B77D6">
        <w:rPr>
          <w:rFonts w:ascii="Calibri" w:hAnsi="Calibri" w:cs="Arial"/>
          <w:b/>
          <w:color w:val="000000"/>
          <w:szCs w:val="24"/>
        </w:rPr>
        <w:tab/>
        <w:t xml:space="preserve"> Finansowa wewnętrzna stopa zwrotu z kapitału</w:t>
      </w:r>
    </w:p>
    <w:p w14:paraId="467C353B"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2612EFA7"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23FBF60D" wp14:editId="141B27C1">
            <wp:extent cx="2000250" cy="400050"/>
            <wp:effectExtent l="0" t="0" r="0" b="0"/>
            <wp:docPr id="18" name="Obraz 18" title="Wzór na obliczenie  finansowej wewnętrznej stopy zwrotu z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3F809DA1"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442BF9A9"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 poszczególnych latach przyjętego okresu odniesienia analizy generowane w związku z wdrożeniem projektu,</w:t>
      </w:r>
    </w:p>
    <w:p w14:paraId="6615AFDE"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6908D1EE"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126A8216" w14:textId="77777777" w:rsidR="00C2071D" w:rsidRPr="004B77D6" w:rsidRDefault="00C2071D" w:rsidP="0089006E">
      <w:pPr>
        <w:pStyle w:val="Tekstpodstawowy22"/>
        <w:numPr>
          <w:ilvl w:val="1"/>
          <w:numId w:val="31"/>
        </w:numPr>
        <w:tabs>
          <w:tab w:val="clear" w:pos="1800"/>
        </w:tabs>
        <w:spacing w:line="276" w:lineRule="auto"/>
        <w:ind w:left="1276" w:hanging="567"/>
        <w:jc w:val="left"/>
        <w:rPr>
          <w:rFonts w:ascii="Calibri" w:hAnsi="Calibri" w:cs="Arial"/>
          <w:b/>
          <w:color w:val="000000"/>
          <w:szCs w:val="24"/>
        </w:rPr>
      </w:pPr>
      <w:r w:rsidRPr="004B77D6">
        <w:rPr>
          <w:rFonts w:ascii="Calibri" w:hAnsi="Calibri" w:cs="Arial"/>
          <w:b/>
          <w:color w:val="000000"/>
          <w:szCs w:val="24"/>
        </w:rPr>
        <w:t>Wskaźniki efektywności ekonomicznej projektu</w:t>
      </w:r>
    </w:p>
    <w:p w14:paraId="1B0D4BAE"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681D02D6" w14:textId="77777777" w:rsidR="00C2071D" w:rsidRPr="004B77D6" w:rsidRDefault="00C2071D" w:rsidP="00C2071D">
      <w:pPr>
        <w:pStyle w:val="Tekstpodstawowy22"/>
        <w:spacing w:line="276" w:lineRule="auto"/>
        <w:ind w:left="720"/>
        <w:jc w:val="left"/>
        <w:rPr>
          <w:rFonts w:ascii="Calibri" w:hAnsi="Calibri" w:cs="Arial"/>
          <w:color w:val="000000"/>
          <w:szCs w:val="24"/>
        </w:rPr>
      </w:pPr>
    </w:p>
    <w:p w14:paraId="3C02C786"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 xml:space="preserve">ENPV </w:t>
      </w:r>
      <w:r w:rsidRPr="004B77D6">
        <w:rPr>
          <w:rFonts w:ascii="Calibri" w:hAnsi="Calibri" w:cs="Arial"/>
          <w:b/>
          <w:color w:val="000000"/>
          <w:szCs w:val="24"/>
        </w:rPr>
        <w:tab/>
        <w:t>Ekonomiczna bieżąca wartość netto</w:t>
      </w:r>
    </w:p>
    <w:p w14:paraId="51AD3C37"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7DEBF054"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0D0C5D4" wp14:editId="14424CBE">
            <wp:extent cx="3267075" cy="476250"/>
            <wp:effectExtent l="0" t="0" r="0" b="0"/>
            <wp:docPr id="17" name="Obraz 17" title="Wzór na obliczenie ekonomicznej bieżącej wartości n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7075" cy="476250"/>
                    </a:xfrm>
                    <a:prstGeom prst="rect">
                      <a:avLst/>
                    </a:prstGeom>
                    <a:noFill/>
                    <a:ln>
                      <a:noFill/>
                    </a:ln>
                  </pic:spPr>
                </pic:pic>
              </a:graphicData>
            </a:graphic>
          </wp:inline>
        </w:drawing>
      </w:r>
    </w:p>
    <w:p w14:paraId="5F6FCB5D"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5ED98A92"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5AA5F06F"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color w:val="000000"/>
          <w:szCs w:val="24"/>
        </w:rPr>
        <w:lastRenderedPageBreak/>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2B05B3A8"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14CA0C00"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4E86D47D" wp14:editId="2592937B">
            <wp:extent cx="800100" cy="428625"/>
            <wp:effectExtent l="0" t="0" r="0" b="9525"/>
            <wp:docPr id="16" name="Obraz 16"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263B18EB"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4437BCB2" w14:textId="77777777" w:rsidR="00C2071D" w:rsidRPr="004B77D6" w:rsidRDefault="00C2071D" w:rsidP="00C2071D">
      <w:pPr>
        <w:pStyle w:val="Tekstpodstawowy22"/>
        <w:spacing w:line="276" w:lineRule="auto"/>
        <w:ind w:left="720"/>
        <w:jc w:val="left"/>
        <w:rPr>
          <w:rFonts w:ascii="Calibri" w:hAnsi="Calibri" w:cs="Arial"/>
          <w:b/>
          <w:color w:val="000000"/>
          <w:szCs w:val="24"/>
        </w:rPr>
      </w:pPr>
    </w:p>
    <w:p w14:paraId="294EE3E3" w14:textId="77777777" w:rsidR="00C2071D" w:rsidRPr="004B77D6" w:rsidRDefault="00C2071D" w:rsidP="00C2071D">
      <w:pPr>
        <w:pStyle w:val="Tekstpodstawowy22"/>
        <w:spacing w:line="276" w:lineRule="auto"/>
        <w:ind w:left="720"/>
        <w:jc w:val="left"/>
        <w:rPr>
          <w:rFonts w:ascii="Calibri" w:hAnsi="Calibri" w:cs="Arial"/>
          <w:b/>
          <w:color w:val="000000"/>
          <w:szCs w:val="24"/>
        </w:rPr>
      </w:pPr>
    </w:p>
    <w:p w14:paraId="52895288"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ERR</w:t>
      </w:r>
      <w:r w:rsidRPr="004B77D6">
        <w:rPr>
          <w:rFonts w:ascii="Calibri" w:hAnsi="Calibri" w:cs="Arial"/>
          <w:b/>
          <w:color w:val="000000"/>
          <w:szCs w:val="24"/>
        </w:rPr>
        <w:tab/>
        <w:t>Ekonomiczna wewnętrzna stopa zwrotu</w:t>
      </w:r>
    </w:p>
    <w:p w14:paraId="793007CA"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42A7CF29"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330A7E2" wp14:editId="7CA5468A">
            <wp:extent cx="1647825" cy="447675"/>
            <wp:effectExtent l="0" t="0" r="0" b="9525"/>
            <wp:docPr id="15" name="Obraz 15" title="Wzór na obliczenie ekonomicznej wewnętrznej stopy zwr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p>
    <w:p w14:paraId="3AC33E9F"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F4634B9"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73618AAD"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0011F73A" w14:textId="77777777" w:rsidR="00C2071D" w:rsidRPr="004B77D6" w:rsidRDefault="00C2071D" w:rsidP="00C2071D">
      <w:pPr>
        <w:pStyle w:val="Tekstpodstawowy22"/>
        <w:spacing w:line="276" w:lineRule="auto"/>
        <w:ind w:left="720"/>
        <w:jc w:val="left"/>
        <w:rPr>
          <w:rFonts w:ascii="Calibri" w:hAnsi="Calibri" w:cs="Arial"/>
          <w:b/>
          <w:color w:val="000000"/>
          <w:szCs w:val="24"/>
        </w:rPr>
      </w:pPr>
    </w:p>
    <w:p w14:paraId="4C462098" w14:textId="77777777" w:rsidR="00C2071D" w:rsidRPr="004B77D6" w:rsidRDefault="00C2071D" w:rsidP="00C2071D">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B/C</w:t>
      </w:r>
      <w:r w:rsidRPr="004B77D6">
        <w:rPr>
          <w:rFonts w:ascii="Calibri" w:hAnsi="Calibri" w:cs="Arial"/>
          <w:b/>
          <w:color w:val="000000"/>
          <w:szCs w:val="24"/>
        </w:rPr>
        <w:tab/>
        <w:t xml:space="preserve"> Wskaźnik korzyści-koszty</w:t>
      </w:r>
    </w:p>
    <w:p w14:paraId="395D4DB9"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t xml:space="preserve"> </w:t>
      </w:r>
    </w:p>
    <w:p w14:paraId="4B7B85E7"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B901A3D" wp14:editId="124B7B8B">
            <wp:extent cx="2628900" cy="828675"/>
            <wp:effectExtent l="0" t="0" r="0" b="9525"/>
            <wp:docPr id="1" name="Obraz 1" title="Wzór na obliczenie wskaźnika korzyści: kos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8900" cy="828675"/>
                    </a:xfrm>
                    <a:prstGeom prst="rect">
                      <a:avLst/>
                    </a:prstGeom>
                    <a:noFill/>
                    <a:ln>
                      <a:noFill/>
                    </a:ln>
                  </pic:spPr>
                </pic:pic>
              </a:graphicData>
            </a:graphic>
          </wp:inline>
        </w:drawing>
      </w:r>
    </w:p>
    <w:p w14:paraId="5CCCC4A2"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36A07343"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B</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korzyści ekonomicznych generowanych w wyniku realizacji projektu </w:t>
      </w:r>
      <w:r w:rsidRPr="004B77D6">
        <w:rPr>
          <w:rFonts w:ascii="Calibri" w:hAnsi="Calibri" w:cs="Arial"/>
          <w:color w:val="000000"/>
          <w:szCs w:val="24"/>
        </w:rPr>
        <w:br/>
        <w:t>w poszczególnych latach przyjętego okresu odniesienia analizy,</w:t>
      </w:r>
    </w:p>
    <w:p w14:paraId="4472A735"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C</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kosztów ekonomicznych generowanych w wyniku realizacji projektu </w:t>
      </w:r>
      <w:r w:rsidRPr="004B77D6">
        <w:rPr>
          <w:rFonts w:ascii="Calibri" w:hAnsi="Calibri" w:cs="Arial"/>
          <w:color w:val="000000"/>
          <w:szCs w:val="24"/>
        </w:rPr>
        <w:br/>
        <w:t>w poszczególnych latach przyjętego okresu odniesienia analizy,</w:t>
      </w:r>
    </w:p>
    <w:p w14:paraId="7D857C3C"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odniesienia(liczba lat) </w:t>
      </w:r>
      <w:r w:rsidRPr="004B77D6">
        <w:rPr>
          <w:rFonts w:ascii="Calibri" w:hAnsi="Calibri" w:cs="Arial"/>
          <w:b/>
          <w:color w:val="000000"/>
          <w:szCs w:val="24"/>
        </w:rPr>
        <w:t>pomniejszona o 1</w:t>
      </w:r>
      <w:r w:rsidRPr="004B77D6">
        <w:rPr>
          <w:rFonts w:ascii="Calibri" w:hAnsi="Calibri" w:cs="Arial"/>
          <w:color w:val="000000"/>
          <w:szCs w:val="24"/>
        </w:rPr>
        <w:t>,</w:t>
      </w:r>
    </w:p>
    <w:p w14:paraId="04FBFDCA"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5243E8C0"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4CF2DD4" wp14:editId="4B1E0FE8">
            <wp:extent cx="800100" cy="428625"/>
            <wp:effectExtent l="0" t="0" r="0" b="9525"/>
            <wp:docPr id="13" name="Obraz 13"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1244FAB3" w14:textId="77777777" w:rsidR="00C2071D" w:rsidRPr="004B77D6" w:rsidRDefault="00C2071D" w:rsidP="00C2071D">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7B525C8C" w14:textId="415CFFB4" w:rsidR="00C2071D" w:rsidRPr="004B77D6" w:rsidRDefault="00C2071D" w:rsidP="00C2071D">
      <w:pPr>
        <w:pStyle w:val="Nagwek1"/>
        <w:numPr>
          <w:ilvl w:val="2"/>
          <w:numId w:val="7"/>
        </w:numPr>
        <w:tabs>
          <w:tab w:val="clear" w:pos="993"/>
          <w:tab w:val="num" w:pos="1134"/>
        </w:tabs>
        <w:spacing w:before="480" w:after="120" w:line="276" w:lineRule="auto"/>
        <w:ind w:left="851"/>
        <w:rPr>
          <w:rFonts w:ascii="Calibri" w:hAnsi="Calibri"/>
          <w:b w:val="0"/>
          <w:sz w:val="24"/>
          <w:szCs w:val="24"/>
        </w:rPr>
      </w:pPr>
      <w:bookmarkStart w:id="27" w:name="_Toc485046388"/>
      <w:bookmarkStart w:id="28" w:name="_Toc485382847"/>
      <w:bookmarkStart w:id="29" w:name="_Toc485046392"/>
      <w:bookmarkStart w:id="30" w:name="_Toc485382851"/>
      <w:bookmarkStart w:id="31" w:name="_Toc485046393"/>
      <w:bookmarkStart w:id="32" w:name="_Toc485382852"/>
      <w:bookmarkStart w:id="33" w:name="_Toc485046397"/>
      <w:bookmarkStart w:id="34" w:name="_Toc485382856"/>
      <w:bookmarkStart w:id="35" w:name="_Toc485046402"/>
      <w:bookmarkStart w:id="36" w:name="_Toc485382861"/>
      <w:bookmarkStart w:id="37" w:name="_Toc485046405"/>
      <w:bookmarkStart w:id="38" w:name="_Toc485382864"/>
      <w:bookmarkStart w:id="39" w:name="_Toc485046409"/>
      <w:bookmarkStart w:id="40" w:name="_Toc485382868"/>
      <w:bookmarkStart w:id="41" w:name="_Toc485046411"/>
      <w:bookmarkStart w:id="42" w:name="_Toc485382870"/>
      <w:bookmarkStart w:id="43" w:name="_Toc485046416"/>
      <w:bookmarkStart w:id="44" w:name="_Toc485382875"/>
      <w:bookmarkStart w:id="45" w:name="_Toc485046419"/>
      <w:bookmarkStart w:id="46" w:name="_Toc485382878"/>
      <w:bookmarkStart w:id="47" w:name="_Toc485046445"/>
      <w:bookmarkStart w:id="48" w:name="_Toc485382904"/>
      <w:bookmarkStart w:id="49" w:name="_Toc485046470"/>
      <w:bookmarkStart w:id="50" w:name="_Toc485382929"/>
      <w:bookmarkStart w:id="51" w:name="_Toc485046489"/>
      <w:bookmarkStart w:id="52" w:name="_Toc485382948"/>
      <w:bookmarkStart w:id="53" w:name="_Toc485046491"/>
      <w:bookmarkStart w:id="54" w:name="_Toc485382950"/>
      <w:bookmarkStart w:id="55" w:name="_Toc477857433"/>
      <w:bookmarkStart w:id="56" w:name="_Toc127344057"/>
      <w:bookmarkStart w:id="57" w:name="_Toc18490079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B77D6">
        <w:rPr>
          <w:rFonts w:ascii="Calibri" w:hAnsi="Calibri"/>
          <w:sz w:val="24"/>
          <w:szCs w:val="24"/>
        </w:rPr>
        <w:t xml:space="preserve">ANALIZA </w:t>
      </w:r>
      <w:bookmarkEnd w:id="55"/>
      <w:bookmarkEnd w:id="56"/>
      <w:r w:rsidR="009370FF">
        <w:rPr>
          <w:rFonts w:ascii="Calibri" w:hAnsi="Calibri"/>
          <w:sz w:val="24"/>
          <w:szCs w:val="24"/>
          <w:lang w:val="pl-PL"/>
        </w:rPr>
        <w:t>KOSZTÓW I KORZYŚCI</w:t>
      </w:r>
      <w:bookmarkEnd w:id="57"/>
    </w:p>
    <w:p w14:paraId="21B5578E" w14:textId="77777777" w:rsidR="00C2071D" w:rsidRPr="004B77D6" w:rsidRDefault="00C2071D" w:rsidP="00C2071D">
      <w:pPr>
        <w:spacing w:before="120" w:after="120" w:line="276" w:lineRule="auto"/>
        <w:ind w:firstLine="709"/>
        <w:rPr>
          <w:rFonts w:ascii="Calibri" w:hAnsi="Calibri"/>
          <w:szCs w:val="24"/>
        </w:rPr>
      </w:pPr>
      <w:r w:rsidRPr="004B77D6">
        <w:rPr>
          <w:rFonts w:ascii="Calibri" w:hAnsi="Calibri"/>
          <w:szCs w:val="24"/>
        </w:rPr>
        <w:t xml:space="preserve">Bada </w:t>
      </w:r>
      <w:r w:rsidRPr="004B77D6">
        <w:rPr>
          <w:rFonts w:ascii="Calibri" w:hAnsi="Calibri"/>
          <w:i/>
          <w:szCs w:val="24"/>
        </w:rPr>
        <w:t>efektywność projektu</w:t>
      </w:r>
      <w:r w:rsidRPr="004B77D6">
        <w:rPr>
          <w:rFonts w:ascii="Calibri" w:hAnsi="Calibri"/>
          <w:szCs w:val="24"/>
        </w:rPr>
        <w:t xml:space="preserve">, tj. czy środki przeznaczone zostały na właściwe cele oraz czy korzyści wynikające z ich rozdysponowania są większe od poniesionych kosztów. Analiza powinna wykazać, jakie wymierne efekty dla społeczności lokalnej zostaną wygenerowane </w:t>
      </w:r>
      <w:r w:rsidRPr="004B77D6">
        <w:rPr>
          <w:rFonts w:ascii="Calibri" w:hAnsi="Calibri"/>
          <w:szCs w:val="24"/>
        </w:rPr>
        <w:lastRenderedPageBreak/>
        <w:t>przez projekt. W zależności od rodzaju projektu opracowanie może przybrać formę analizy ekonomicznej lub analizy efektywności kosztowej.</w:t>
      </w:r>
    </w:p>
    <w:p w14:paraId="62F108F2" w14:textId="77777777" w:rsidR="009370FF" w:rsidRDefault="009370FF" w:rsidP="009370FF">
      <w:pPr>
        <w:spacing w:before="120" w:after="120" w:line="276" w:lineRule="auto"/>
        <w:rPr>
          <w:rFonts w:ascii="Calibri" w:hAnsi="Calibri"/>
          <w:szCs w:val="24"/>
        </w:rPr>
      </w:pPr>
      <w:r w:rsidRPr="009370FF">
        <w:rPr>
          <w:rFonts w:ascii="Calibri" w:hAnsi="Calibri"/>
          <w:b/>
          <w:bCs/>
          <w:szCs w:val="24"/>
        </w:rPr>
        <w:t>Analiza ekonomiczna</w:t>
      </w:r>
      <w:r w:rsidRPr="009370FF">
        <w:rPr>
          <w:rFonts w:ascii="Calibri" w:hAnsi="Calibri"/>
          <w:szCs w:val="24"/>
        </w:rPr>
        <w:t xml:space="preserve"> </w:t>
      </w:r>
    </w:p>
    <w:p w14:paraId="30A50F6E"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Analiza ekonomiczna jest pełną formą analizy kosztów i korzyści. Przeprowadza się ją jeżeli zmierzenie i zaprezentowanie korzyści projektów w kategoriach pieniężnych jest możliwe.</w:t>
      </w:r>
    </w:p>
    <w:p w14:paraId="342CC9CD"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Analiza ekonomiczna przeprowadzana jest w drodze skorygowania wyników analizy finansowej o efekty fiskalne, efekty zewnętrzne oraz ceny rozrachunkowe.</w:t>
      </w:r>
    </w:p>
    <w:p w14:paraId="53B625CF"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Do oszacowania kosztów i korzyści ekonomicznych stosowana jest, podobnie jak w analizie finansowej, metoda DCF</w:t>
      </w:r>
      <w:r w:rsidRPr="009A4DEF">
        <w:rPr>
          <w:sz w:val="24"/>
          <w:szCs w:val="24"/>
          <w:lang w:val="pl-PL"/>
        </w:rPr>
        <w:t>.</w:t>
      </w:r>
    </w:p>
    <w:p w14:paraId="0E3C354D"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 xml:space="preserve"> Analizę ekonomiczną przeprowadza się w cenach stałych (patrz: Wykaz pojęć – ceny stałe). Społeczna stopa dyskontowa (społeczny wskaźnik waloryzacji), jaką należy przyjąć w analizie ekonomicznej, zgodnie z rekomendacją zawartą w Vademecum AE, wynosi </w:t>
      </w:r>
      <w:r w:rsidRPr="009A4DEF">
        <w:rPr>
          <w:b/>
          <w:bCs/>
          <w:sz w:val="24"/>
          <w:szCs w:val="24"/>
        </w:rPr>
        <w:t>3%.</w:t>
      </w:r>
      <w:r w:rsidRPr="009A4DEF">
        <w:rPr>
          <w:sz w:val="24"/>
          <w:szCs w:val="24"/>
        </w:rPr>
        <w:t xml:space="preserve"> </w:t>
      </w:r>
    </w:p>
    <w:p w14:paraId="6AAB3B4F"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 xml:space="preserve">Podstawą do przeprowadzenia analizy ekonomicznej są przepływy środków pieniężnych określone w analizie finansowej. Przy określaniu ekonomicznych wskaźników efektywności należy jednak dokonać niezbędnych korekt dotyczących: </w:t>
      </w:r>
    </w:p>
    <w:p w14:paraId="0E147795" w14:textId="77777777" w:rsidR="009370FF" w:rsidRPr="009A4DEF" w:rsidRDefault="009370FF" w:rsidP="0089006E">
      <w:pPr>
        <w:pStyle w:val="Akapitzlist"/>
        <w:numPr>
          <w:ilvl w:val="0"/>
          <w:numId w:val="63"/>
        </w:numPr>
        <w:spacing w:before="120" w:after="120"/>
        <w:rPr>
          <w:sz w:val="24"/>
          <w:szCs w:val="24"/>
        </w:rPr>
      </w:pPr>
      <w:r w:rsidRPr="009A4DEF">
        <w:rPr>
          <w:sz w:val="24"/>
          <w:szCs w:val="24"/>
        </w:rPr>
        <w:t>efektów fiskalnych (transferów),</w:t>
      </w:r>
    </w:p>
    <w:p w14:paraId="20F41912" w14:textId="77777777" w:rsidR="009370FF" w:rsidRPr="009A4DEF" w:rsidRDefault="009370FF" w:rsidP="0089006E">
      <w:pPr>
        <w:pStyle w:val="Akapitzlist"/>
        <w:numPr>
          <w:ilvl w:val="0"/>
          <w:numId w:val="63"/>
        </w:numPr>
        <w:spacing w:before="120" w:after="120"/>
        <w:rPr>
          <w:sz w:val="24"/>
          <w:szCs w:val="24"/>
        </w:rPr>
      </w:pPr>
      <w:r w:rsidRPr="009A4DEF">
        <w:rPr>
          <w:sz w:val="24"/>
          <w:szCs w:val="24"/>
        </w:rPr>
        <w:t xml:space="preserve">efektów zewnętrznych, </w:t>
      </w:r>
    </w:p>
    <w:p w14:paraId="42E6AD88" w14:textId="1B081AAD" w:rsidR="009370FF" w:rsidRPr="009A4DEF" w:rsidRDefault="009370FF" w:rsidP="0089006E">
      <w:pPr>
        <w:pStyle w:val="Akapitzlist"/>
        <w:numPr>
          <w:ilvl w:val="0"/>
          <w:numId w:val="63"/>
        </w:numPr>
        <w:spacing w:before="120" w:after="120"/>
        <w:rPr>
          <w:sz w:val="24"/>
          <w:szCs w:val="24"/>
        </w:rPr>
      </w:pPr>
      <w:r w:rsidRPr="009A4DEF">
        <w:rPr>
          <w:sz w:val="24"/>
          <w:szCs w:val="24"/>
        </w:rPr>
        <w:t xml:space="preserve">przekształceń z cen rynkowych na ceny rozrachunkowe. </w:t>
      </w:r>
    </w:p>
    <w:p w14:paraId="478276B3" w14:textId="77777777" w:rsidR="009370FF" w:rsidRPr="009A4DEF" w:rsidRDefault="009370FF" w:rsidP="0089006E">
      <w:pPr>
        <w:pStyle w:val="Akapitzlist"/>
        <w:numPr>
          <w:ilvl w:val="0"/>
          <w:numId w:val="62"/>
        </w:numPr>
        <w:spacing w:before="120" w:after="120"/>
        <w:rPr>
          <w:sz w:val="24"/>
          <w:szCs w:val="24"/>
        </w:rPr>
      </w:pPr>
      <w:r w:rsidRPr="009A4DEF">
        <w:rPr>
          <w:sz w:val="24"/>
          <w:szCs w:val="24"/>
        </w:rPr>
        <w:t xml:space="preserve">Korekty fiskalne polegają, m.in. na skorygowaniu następujących pozycji: </w:t>
      </w:r>
    </w:p>
    <w:p w14:paraId="5F3B9AD5" w14:textId="60389A61" w:rsidR="009370FF" w:rsidRPr="009A4DEF" w:rsidRDefault="009370FF" w:rsidP="0089006E">
      <w:pPr>
        <w:pStyle w:val="Akapitzlist"/>
        <w:numPr>
          <w:ilvl w:val="0"/>
          <w:numId w:val="64"/>
        </w:numPr>
        <w:spacing w:before="120" w:after="120"/>
        <w:rPr>
          <w:sz w:val="24"/>
          <w:szCs w:val="24"/>
        </w:rPr>
      </w:pPr>
      <w:r w:rsidRPr="009A4DEF">
        <w:rPr>
          <w:sz w:val="24"/>
          <w:szCs w:val="24"/>
        </w:rPr>
        <w:t xml:space="preserve">odliczeniu podatków pośrednich (np. VAT, który w analizie finansowej był uwzględniany w cenach, czy też podatku akcyzowego), </w:t>
      </w:r>
    </w:p>
    <w:p w14:paraId="4EF48FE8" w14:textId="41916950" w:rsidR="009370FF" w:rsidRPr="009A4DEF" w:rsidRDefault="009370FF" w:rsidP="0089006E">
      <w:pPr>
        <w:pStyle w:val="Akapitzlist"/>
        <w:numPr>
          <w:ilvl w:val="0"/>
          <w:numId w:val="64"/>
        </w:numPr>
        <w:spacing w:before="120" w:after="120"/>
        <w:rPr>
          <w:sz w:val="24"/>
          <w:szCs w:val="24"/>
        </w:rPr>
      </w:pPr>
      <w:r w:rsidRPr="009A4DEF">
        <w:rPr>
          <w:sz w:val="24"/>
          <w:szCs w:val="24"/>
        </w:rPr>
        <w:t xml:space="preserve">odliczeniu subwencji i wpłat, mających charakter wyłącznie przekazu pieniężnego – tzw. ”czystych” płatności transferowych przekazywanych przez podmioty publiczne na rzecz osób fizycznych (np. płatności z tytułu ubezpieczeń społecznych), </w:t>
      </w:r>
    </w:p>
    <w:p w14:paraId="44DE4376" w14:textId="1257C9E2" w:rsidR="009370FF" w:rsidRPr="009A4DEF" w:rsidRDefault="009370FF" w:rsidP="0089006E">
      <w:pPr>
        <w:pStyle w:val="Akapitzlist"/>
        <w:numPr>
          <w:ilvl w:val="0"/>
          <w:numId w:val="64"/>
        </w:numPr>
        <w:spacing w:before="120" w:after="120"/>
        <w:rPr>
          <w:sz w:val="24"/>
          <w:szCs w:val="24"/>
        </w:rPr>
      </w:pPr>
      <w:r w:rsidRPr="009A4DEF">
        <w:rPr>
          <w:sz w:val="24"/>
          <w:szCs w:val="24"/>
        </w:rPr>
        <w:t xml:space="preserve">uwzględnieniu w cenie tych konkretnych podatków pośrednich / subwencji / dotacji, które mają za zadanie zmienić efekty zewnętrzne. Jednakże należy pamiętać, aby w trakcie analizy nie liczyć ich podwójnie (przykładowo jako podatek włączony do danej ceny oraz jako szacunkowy zewnętrzny koszt środowiskowy). </w:t>
      </w:r>
    </w:p>
    <w:p w14:paraId="7B776247"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lastRenderedPageBreak/>
        <w:t xml:space="preserve">Korekta dotycząca efektów zewnętrznych ma na celu ustalenie wartości negatywnych </w:t>
      </w:r>
      <w:r w:rsidR="009A4DEF" w:rsidRPr="009A4DEF">
        <w:rPr>
          <w:sz w:val="24"/>
          <w:szCs w:val="24"/>
        </w:rPr>
        <w:br/>
      </w:r>
      <w:r w:rsidRPr="009A4DEF">
        <w:rPr>
          <w:sz w:val="24"/>
          <w:szCs w:val="24"/>
        </w:rPr>
        <w:t>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w:t>
      </w:r>
    </w:p>
    <w:p w14:paraId="1EC1CE50"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t xml:space="preserve">Przekształcenie z cen rynkowych w ceny rozrachunkowe (ukryte) ma na celu uwzględnienie czynników mogących oderwać ceny od równowagi konkurencyjnej (tj. skutecznego rynku), takich jak: niedoskonałości rynku, monopole, bariery handlowe, regulacje w zakresie prawa pracy, niepełna informacja itp. Przeliczanie cen rynkowych na rozrachunkowe ma na celu zapewnienie, że te ostatnie będą odzwierciedlały koszt alternatywny wkładu w projekt oraz gotowość klienta do zapłaty za produkt końcowy. W szczególności, w przypadku gdy wynagrodzenie finansowe nie odzwierciedla alternatywnego kosztu pracy, należy skorygować je do poziomu wynagrodzenia ukrytego (ang. </w:t>
      </w:r>
      <w:proofErr w:type="spellStart"/>
      <w:r w:rsidRPr="009A4DEF">
        <w:rPr>
          <w:sz w:val="24"/>
          <w:szCs w:val="24"/>
        </w:rPr>
        <w:t>shadow</w:t>
      </w:r>
      <w:proofErr w:type="spellEnd"/>
      <w:r w:rsidRPr="009A4DEF">
        <w:rPr>
          <w:sz w:val="24"/>
          <w:szCs w:val="24"/>
        </w:rPr>
        <w:t xml:space="preserve"> </w:t>
      </w:r>
      <w:proofErr w:type="spellStart"/>
      <w:r w:rsidRPr="009A4DEF">
        <w:rPr>
          <w:sz w:val="24"/>
          <w:szCs w:val="24"/>
        </w:rPr>
        <w:t>wage</w:t>
      </w:r>
      <w:proofErr w:type="spellEnd"/>
      <w:r w:rsidRPr="009A4DEF">
        <w:rPr>
          <w:sz w:val="24"/>
          <w:szCs w:val="24"/>
        </w:rPr>
        <w:t xml:space="preserve">). Szczegółowe informacje na temat przekształcania cen rynkowych na ceny rozrachunkowe wraz z przykładowymi czynnikami konwersji przedstawione zostały w Vademecum AE. </w:t>
      </w:r>
    </w:p>
    <w:p w14:paraId="0D1ACF8C"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t xml:space="preserve">W celu dokonania oceny ekonomicznej projektu należy posłużyć się następującymi ekonomicznymi wskaźnikami efektywności: </w:t>
      </w:r>
    </w:p>
    <w:p w14:paraId="7B2EFBBD" w14:textId="4CF8AA53" w:rsidR="009A4DEF" w:rsidRPr="009A4DEF" w:rsidRDefault="009370FF" w:rsidP="0089006E">
      <w:pPr>
        <w:pStyle w:val="Akapitzlist"/>
        <w:numPr>
          <w:ilvl w:val="0"/>
          <w:numId w:val="65"/>
        </w:numPr>
        <w:spacing w:before="120" w:after="120"/>
        <w:rPr>
          <w:sz w:val="24"/>
          <w:szCs w:val="24"/>
        </w:rPr>
      </w:pPr>
      <w:r w:rsidRPr="009A4DEF">
        <w:rPr>
          <w:sz w:val="24"/>
          <w:szCs w:val="24"/>
        </w:rPr>
        <w:t xml:space="preserve">ENPV, która powinna być większa od zera, </w:t>
      </w:r>
    </w:p>
    <w:p w14:paraId="486F02F2" w14:textId="0B2DCB48" w:rsidR="009A4DEF" w:rsidRPr="009A4DEF" w:rsidRDefault="009370FF" w:rsidP="0089006E">
      <w:pPr>
        <w:pStyle w:val="Akapitzlist"/>
        <w:numPr>
          <w:ilvl w:val="0"/>
          <w:numId w:val="65"/>
        </w:numPr>
        <w:spacing w:before="120" w:after="120"/>
        <w:rPr>
          <w:sz w:val="24"/>
          <w:szCs w:val="24"/>
        </w:rPr>
      </w:pPr>
      <w:r w:rsidRPr="009A4DEF">
        <w:rPr>
          <w:sz w:val="24"/>
          <w:szCs w:val="24"/>
        </w:rPr>
        <w:t xml:space="preserve">ERR, która powinna przewyższać przyjętą stopę dyskontową, </w:t>
      </w:r>
    </w:p>
    <w:p w14:paraId="16BE46A0" w14:textId="7117B125" w:rsidR="009A4DEF" w:rsidRPr="009A4DEF" w:rsidRDefault="009370FF" w:rsidP="0089006E">
      <w:pPr>
        <w:pStyle w:val="Akapitzlist"/>
        <w:numPr>
          <w:ilvl w:val="0"/>
          <w:numId w:val="65"/>
        </w:numPr>
        <w:spacing w:before="120" w:after="120"/>
        <w:rPr>
          <w:sz w:val="24"/>
          <w:szCs w:val="24"/>
        </w:rPr>
      </w:pPr>
      <w:r w:rsidRPr="009A4DEF">
        <w:rPr>
          <w:sz w:val="24"/>
          <w:szCs w:val="24"/>
        </w:rPr>
        <w:t xml:space="preserve">relacją zdyskontowanych korzyści do zdyskontowanych kosztów (B/C), która powinna być wyższa od jedności. </w:t>
      </w:r>
    </w:p>
    <w:p w14:paraId="0531A45C" w14:textId="1275151E" w:rsidR="009A4DEF" w:rsidRPr="009A4DEF" w:rsidRDefault="009370FF" w:rsidP="0089006E">
      <w:pPr>
        <w:pStyle w:val="Akapitzlist"/>
        <w:numPr>
          <w:ilvl w:val="0"/>
          <w:numId w:val="62"/>
        </w:numPr>
        <w:spacing w:before="120" w:after="120"/>
        <w:rPr>
          <w:sz w:val="24"/>
          <w:szCs w:val="24"/>
        </w:rPr>
      </w:pPr>
      <w:r w:rsidRPr="009A4DEF">
        <w:rPr>
          <w:sz w:val="24"/>
          <w:szCs w:val="24"/>
        </w:rPr>
        <w:t>Ekonomiczna bieżąca wartość netto inwestycji jest różnicą ogółu zdyskontowanych korzyści i kosztów związanych z inwestycją. Uznaje się, że projekt jest efektywny ekonomicznie, jeżeli wskaźnik ekonomicznej bieżącej wartości netto jest dodatni</w:t>
      </w:r>
      <w:r w:rsidR="009A4DEF" w:rsidRPr="009A4DEF">
        <w:rPr>
          <w:sz w:val="24"/>
          <w:szCs w:val="24"/>
          <w:lang w:val="pl-PL"/>
        </w:rPr>
        <w:t xml:space="preserve">. </w:t>
      </w:r>
      <w:r w:rsidR="009A4DEF">
        <w:rPr>
          <w:sz w:val="24"/>
          <w:szCs w:val="24"/>
          <w:lang w:val="pl-PL"/>
        </w:rPr>
        <w:br/>
      </w:r>
      <w:r w:rsidRPr="009A4DEF">
        <w:rPr>
          <w:sz w:val="24"/>
          <w:szCs w:val="24"/>
        </w:rPr>
        <w:t xml:space="preserve">W przypadku projektów, w których ze względu na ich specyfikę nie jest możliwe określenie ENPV, istnieje możliwość przeprowadzenia analizy efektywności kosztowej. </w:t>
      </w:r>
    </w:p>
    <w:p w14:paraId="75A9373A" w14:textId="30B7D759" w:rsidR="009A4DEF" w:rsidRPr="009A4DEF" w:rsidRDefault="009370FF" w:rsidP="0089006E">
      <w:pPr>
        <w:pStyle w:val="Akapitzlist"/>
        <w:numPr>
          <w:ilvl w:val="0"/>
          <w:numId w:val="62"/>
        </w:numPr>
        <w:spacing w:before="120" w:after="120"/>
        <w:rPr>
          <w:sz w:val="24"/>
          <w:szCs w:val="24"/>
        </w:rPr>
      </w:pPr>
      <w:r w:rsidRPr="009A4DEF">
        <w:rPr>
          <w:sz w:val="24"/>
          <w:szCs w:val="24"/>
        </w:rPr>
        <w:t xml:space="preserve">Ekonomiczna stopa zwrotu (ERR) określa ekonomiczny zwrot z projektu. </w:t>
      </w:r>
      <w:r w:rsidR="009A4DEF">
        <w:rPr>
          <w:sz w:val="24"/>
          <w:szCs w:val="24"/>
        </w:rPr>
        <w:br/>
      </w:r>
      <w:r w:rsidRPr="009A4DEF">
        <w:rPr>
          <w:sz w:val="24"/>
          <w:szCs w:val="24"/>
        </w:rPr>
        <w:t xml:space="preserve">W przypadku, gdy wartość ENPV wynosi zero, tzn. bieżąca wartość przyszłych korzyści ekonomicznych jest równa bieżącej wartości kosztów ekonomicznych projektu, ERR jest równe przyjętej stopie dyskontowej. W przypadku, gdy ERR jest niższe od przyjętej stopy dyskontowej, ENPV jest ujemne, co oznacza, że bieżąca wartość </w:t>
      </w:r>
      <w:r w:rsidRPr="009A4DEF">
        <w:rPr>
          <w:sz w:val="24"/>
          <w:szCs w:val="24"/>
        </w:rPr>
        <w:lastRenderedPageBreak/>
        <w:t xml:space="preserve">przyszłych korzyści ekonomicznych jest niższa niż bieżąca wartość kosztów ekonomicznych projektu. Jeżeli ekonomiczna stopa zwrotu jest mniejsza od zastosowanej stopy dyskontowej, wówczas projekt nie jest efektywny ekonomicznie i nie powinien zostać zakwalifikowany do dofinansowania. </w:t>
      </w:r>
    </w:p>
    <w:p w14:paraId="0FA42968"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t xml:space="preserve">Wskaźnik B/C (korzyści/koszty) ustala się jako stosunek sumy zdyskontowanych korzyści do sumy zdyskontowanych kosztów generowanych w okresie odniesienia. Uznaje się, że inwestycja jest efektywna, jeżeli wskaźnik B/C jest większy od jedności, co oznacza, że wartość korzyści przekracza wartość kosztów inwestycji. </w:t>
      </w:r>
    </w:p>
    <w:p w14:paraId="20F04AB0"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t xml:space="preserve">Wzory do obliczenia powyższych wskaźników zostały przedstawione w Załączniku 1 do Wytycznych. </w:t>
      </w:r>
    </w:p>
    <w:p w14:paraId="47D4B27E" w14:textId="77777777" w:rsidR="009A4DEF" w:rsidRPr="009A4DEF" w:rsidRDefault="009370FF" w:rsidP="0089006E">
      <w:pPr>
        <w:pStyle w:val="Akapitzlist"/>
        <w:numPr>
          <w:ilvl w:val="0"/>
          <w:numId w:val="62"/>
        </w:numPr>
        <w:spacing w:before="120" w:after="120"/>
        <w:rPr>
          <w:sz w:val="24"/>
          <w:szCs w:val="24"/>
        </w:rPr>
      </w:pPr>
      <w:r w:rsidRPr="009A4DEF">
        <w:rPr>
          <w:sz w:val="24"/>
          <w:szCs w:val="24"/>
        </w:rPr>
        <w:t>Te spośród czynników społeczno-gospodarczych, których nie da się wyrazić w wartościach pieniężnych, należy określić ilościowo i jakościowo, biorąc pod uwagę wszystkie istotne społeczne, ekonomiczne i środowiskowe skutki realizacji projektu.</w:t>
      </w:r>
    </w:p>
    <w:p w14:paraId="271406E2" w14:textId="77777777" w:rsidR="009A4DEF" w:rsidRDefault="009370FF" w:rsidP="009A4DEF">
      <w:pPr>
        <w:spacing w:before="120" w:after="120"/>
        <w:ind w:left="360"/>
        <w:rPr>
          <w:rFonts w:ascii="Calibri" w:hAnsi="Calibri" w:cs="Calibri"/>
          <w:szCs w:val="24"/>
        </w:rPr>
      </w:pPr>
      <w:r w:rsidRPr="009A4DEF">
        <w:rPr>
          <w:rFonts w:ascii="Calibri" w:hAnsi="Calibri" w:cs="Calibri"/>
          <w:b/>
          <w:bCs/>
          <w:szCs w:val="24"/>
        </w:rPr>
        <w:t>Analiza efektywności kosztowej</w:t>
      </w:r>
      <w:r w:rsidRPr="009A4DEF">
        <w:rPr>
          <w:rFonts w:ascii="Calibri" w:hAnsi="Calibri" w:cs="Calibri"/>
          <w:szCs w:val="24"/>
        </w:rPr>
        <w:t xml:space="preserve"> </w:t>
      </w:r>
    </w:p>
    <w:p w14:paraId="01D9BF99" w14:textId="77777777" w:rsidR="009A4DEF" w:rsidRDefault="009370FF" w:rsidP="0089006E">
      <w:pPr>
        <w:pStyle w:val="Akapitzlist"/>
        <w:numPr>
          <w:ilvl w:val="0"/>
          <w:numId w:val="66"/>
        </w:numPr>
        <w:spacing w:before="120" w:after="120"/>
        <w:ind w:left="709" w:hanging="283"/>
        <w:rPr>
          <w:rFonts w:cs="Calibri"/>
          <w:sz w:val="24"/>
          <w:szCs w:val="24"/>
        </w:rPr>
      </w:pPr>
      <w:r w:rsidRPr="009A4DEF">
        <w:rPr>
          <w:rFonts w:cs="Calibri"/>
          <w:sz w:val="24"/>
          <w:szCs w:val="24"/>
        </w:rPr>
        <w:t xml:space="preserve">Analiza kosztów i korzyści może przybrać formę analizy efektywności kosztowej wyłącznie w sytuacji, gdy korzyści danego projektu są trudne bądź wręcz niemożliwe do oszacowania, natomiast wymiar kosztów można określić z dużą dozą prawdopodobieństwa. </w:t>
      </w:r>
    </w:p>
    <w:p w14:paraId="2905A905" w14:textId="77777777" w:rsidR="009A4DEF" w:rsidRDefault="009370FF" w:rsidP="0089006E">
      <w:pPr>
        <w:pStyle w:val="Akapitzlist"/>
        <w:numPr>
          <w:ilvl w:val="0"/>
          <w:numId w:val="66"/>
        </w:numPr>
        <w:spacing w:before="120" w:after="120"/>
        <w:ind w:left="709" w:hanging="283"/>
        <w:rPr>
          <w:rFonts w:cs="Calibri"/>
          <w:sz w:val="24"/>
          <w:szCs w:val="24"/>
        </w:rPr>
      </w:pPr>
      <w:r w:rsidRPr="009A4DEF">
        <w:rPr>
          <w:rFonts w:cs="Calibri"/>
          <w:sz w:val="24"/>
          <w:szCs w:val="24"/>
        </w:rPr>
        <w:t xml:space="preserve">Skorzystanie z analizy efektywności kosztowej jest uzasadnione szczególnie </w:t>
      </w:r>
      <w:r w:rsidR="009A4DEF">
        <w:rPr>
          <w:rFonts w:cs="Calibri"/>
          <w:sz w:val="24"/>
          <w:szCs w:val="24"/>
        </w:rPr>
        <w:br/>
      </w:r>
      <w:r w:rsidRPr="009A4DEF">
        <w:rPr>
          <w:rFonts w:cs="Calibri"/>
          <w:sz w:val="24"/>
          <w:szCs w:val="24"/>
        </w:rPr>
        <w:t>w przypadku projektów realizowanych w związku z koniecznością</w:t>
      </w:r>
      <w:r w:rsidR="009A4DEF" w:rsidRPr="009A4DEF">
        <w:rPr>
          <w:rFonts w:cs="Calibri"/>
          <w:sz w:val="24"/>
          <w:szCs w:val="24"/>
          <w:lang w:val="pl-PL"/>
        </w:rPr>
        <w:t xml:space="preserve"> </w:t>
      </w:r>
      <w:r w:rsidRPr="009A4DEF">
        <w:rPr>
          <w:rFonts w:cs="Calibri"/>
          <w:sz w:val="24"/>
          <w:szCs w:val="24"/>
        </w:rPr>
        <w:t xml:space="preserve">podporządkowania się przepisom UE. W odniesieniu do projektów tego rodzaju analiza powinna skupić się na wykazaniu, że dany projekt stanowi najbardziej efektywne źródło zaspokojenia określonych potrzeb społecznych. </w:t>
      </w:r>
    </w:p>
    <w:p w14:paraId="69D03512" w14:textId="77777777" w:rsidR="009A4DEF" w:rsidRDefault="009370FF" w:rsidP="0089006E">
      <w:pPr>
        <w:pStyle w:val="Akapitzlist"/>
        <w:numPr>
          <w:ilvl w:val="0"/>
          <w:numId w:val="66"/>
        </w:numPr>
        <w:spacing w:before="120" w:after="120"/>
        <w:ind w:left="709" w:hanging="283"/>
        <w:rPr>
          <w:rFonts w:cs="Calibri"/>
          <w:sz w:val="24"/>
          <w:szCs w:val="24"/>
        </w:rPr>
      </w:pPr>
      <w:r w:rsidRPr="009A4DEF">
        <w:rPr>
          <w:rFonts w:cs="Calibri"/>
          <w:sz w:val="24"/>
          <w:szCs w:val="24"/>
        </w:rPr>
        <w:t xml:space="preserve">Analiza efektywności kosztowej jest przeprowadzana w drodze obliczenia jednostkowego kosztu osiągnięcia niepieniężnych korzyści, wymaga ich skwantyfikowania, jednak nie przypisuje im wartości pieniężnych. Wymogi zastosowania analizy efektywności kosztowej są następujące: </w:t>
      </w:r>
    </w:p>
    <w:p w14:paraId="25A98D01" w14:textId="77777777" w:rsidR="009A4DEF" w:rsidRDefault="009370FF" w:rsidP="0089006E">
      <w:pPr>
        <w:pStyle w:val="Akapitzlist"/>
        <w:numPr>
          <w:ilvl w:val="0"/>
          <w:numId w:val="67"/>
        </w:numPr>
        <w:spacing w:before="120" w:after="120"/>
        <w:rPr>
          <w:rFonts w:cs="Calibri"/>
          <w:sz w:val="24"/>
          <w:szCs w:val="24"/>
        </w:rPr>
      </w:pPr>
      <w:r w:rsidRPr="009A4DEF">
        <w:rPr>
          <w:rFonts w:cs="Calibri"/>
          <w:sz w:val="24"/>
          <w:szCs w:val="24"/>
        </w:rPr>
        <w:t xml:space="preserve">w efekcie realizacji projektu powstaje jeden niepodzielny i łatwo mierzalny produkt, </w:t>
      </w:r>
    </w:p>
    <w:p w14:paraId="4CC284B0" w14:textId="5D69247C" w:rsidR="009A4DEF" w:rsidRDefault="009370FF" w:rsidP="0089006E">
      <w:pPr>
        <w:pStyle w:val="Akapitzlist"/>
        <w:numPr>
          <w:ilvl w:val="0"/>
          <w:numId w:val="67"/>
        </w:numPr>
        <w:spacing w:before="120" w:after="120"/>
        <w:rPr>
          <w:rFonts w:cs="Calibri"/>
          <w:sz w:val="24"/>
          <w:szCs w:val="24"/>
        </w:rPr>
      </w:pPr>
      <w:r w:rsidRPr="009A4DEF">
        <w:rPr>
          <w:rFonts w:cs="Calibri"/>
          <w:sz w:val="24"/>
          <w:szCs w:val="24"/>
        </w:rPr>
        <w:t xml:space="preserve">produkt projektu jest niezbędny dla zapewnienia podstawowych potrzeb społecznych, </w:t>
      </w:r>
    </w:p>
    <w:p w14:paraId="7EA01D86" w14:textId="77777777" w:rsidR="009A4DEF" w:rsidRDefault="009370FF" w:rsidP="0089006E">
      <w:pPr>
        <w:pStyle w:val="Akapitzlist"/>
        <w:numPr>
          <w:ilvl w:val="0"/>
          <w:numId w:val="67"/>
        </w:numPr>
        <w:spacing w:before="120" w:after="120"/>
        <w:rPr>
          <w:rFonts w:cs="Calibri"/>
          <w:sz w:val="24"/>
          <w:szCs w:val="24"/>
        </w:rPr>
      </w:pPr>
      <w:r w:rsidRPr="009A4DEF">
        <w:rPr>
          <w:rFonts w:cs="Calibri"/>
          <w:sz w:val="24"/>
          <w:szCs w:val="24"/>
        </w:rPr>
        <w:t xml:space="preserve">projekt ma na celu osiągnięcie założonego produktu przy minimalnym koszcie, nie występują znaczące koszty zewnętrzne, </w:t>
      </w:r>
    </w:p>
    <w:p w14:paraId="7CC44BEA" w14:textId="220027A6" w:rsidR="009A4DEF" w:rsidRDefault="009370FF" w:rsidP="0089006E">
      <w:pPr>
        <w:pStyle w:val="Akapitzlist"/>
        <w:numPr>
          <w:ilvl w:val="0"/>
          <w:numId w:val="67"/>
        </w:numPr>
        <w:spacing w:before="120" w:after="120"/>
        <w:rPr>
          <w:rFonts w:cs="Calibri"/>
          <w:sz w:val="24"/>
          <w:szCs w:val="24"/>
        </w:rPr>
      </w:pPr>
      <w:r w:rsidRPr="009A4DEF">
        <w:rPr>
          <w:rFonts w:cs="Calibri"/>
          <w:sz w:val="24"/>
          <w:szCs w:val="24"/>
        </w:rPr>
        <w:lastRenderedPageBreak/>
        <w:t>istnieje szerokie spektrum wskaźników pozwalających na zweryfikowanie faktu, czy wybrana do realizacji projektu technologia spełnia minimalne wymagania</w:t>
      </w:r>
      <w:r w:rsidR="009A4DEF">
        <w:rPr>
          <w:rFonts w:cs="Calibri"/>
          <w:sz w:val="24"/>
          <w:szCs w:val="24"/>
          <w:lang w:val="pl-PL"/>
        </w:rPr>
        <w:t xml:space="preserve"> </w:t>
      </w:r>
      <w:r w:rsidRPr="009A4DEF">
        <w:rPr>
          <w:rFonts w:cs="Calibri"/>
          <w:sz w:val="24"/>
          <w:szCs w:val="24"/>
        </w:rPr>
        <w:t xml:space="preserve">efektywności kosztowej. </w:t>
      </w:r>
    </w:p>
    <w:p w14:paraId="524B2FE6" w14:textId="5A9D4105" w:rsidR="003958B7" w:rsidRPr="009A4DEF" w:rsidRDefault="009370FF" w:rsidP="0089006E">
      <w:pPr>
        <w:pStyle w:val="Akapitzlist"/>
        <w:numPr>
          <w:ilvl w:val="0"/>
          <w:numId w:val="66"/>
        </w:numPr>
        <w:spacing w:before="120" w:after="120"/>
        <w:ind w:left="709" w:hanging="283"/>
        <w:rPr>
          <w:rFonts w:cs="Calibri"/>
          <w:sz w:val="24"/>
          <w:szCs w:val="24"/>
        </w:rPr>
      </w:pPr>
      <w:r w:rsidRPr="009A4DEF">
        <w:rPr>
          <w:rFonts w:cs="Calibri"/>
          <w:sz w:val="24"/>
          <w:szCs w:val="24"/>
        </w:rPr>
        <w:t xml:space="preserve">Analiza efektywności kosztowej może również stanowić uzupełniający element </w:t>
      </w:r>
      <w:r w:rsidR="009A4DEF">
        <w:rPr>
          <w:rFonts w:cs="Calibri"/>
          <w:sz w:val="24"/>
          <w:szCs w:val="24"/>
        </w:rPr>
        <w:br/>
      </w:r>
      <w:r w:rsidRPr="009A4DEF">
        <w:rPr>
          <w:rFonts w:cs="Calibri"/>
          <w:sz w:val="24"/>
          <w:szCs w:val="24"/>
        </w:rPr>
        <w:t xml:space="preserve">w stosunku do analizy kosztów i korzyści w formie analizy ekonomicznej, np. </w:t>
      </w:r>
      <w:r w:rsidR="009A4DEF">
        <w:rPr>
          <w:rFonts w:cs="Calibri"/>
          <w:sz w:val="24"/>
          <w:szCs w:val="24"/>
        </w:rPr>
        <w:br/>
      </w:r>
      <w:r w:rsidRPr="009A4DEF">
        <w:rPr>
          <w:rFonts w:cs="Calibri"/>
          <w:sz w:val="24"/>
          <w:szCs w:val="24"/>
        </w:rPr>
        <w:t>w przypadku stosowania wskaźnika efektywności kosztowej w ramach analizy opcji lub w procesie wyboru (rankingowania) projektów do dofinansowania.</w:t>
      </w:r>
    </w:p>
    <w:p w14:paraId="75BD784D" w14:textId="5C1C9190" w:rsidR="00C2071D" w:rsidRPr="004B77D6" w:rsidRDefault="00C2071D" w:rsidP="00C2071D">
      <w:pPr>
        <w:pStyle w:val="Nagwek1"/>
        <w:numPr>
          <w:ilvl w:val="2"/>
          <w:numId w:val="7"/>
        </w:numPr>
        <w:tabs>
          <w:tab w:val="clear" w:pos="993"/>
          <w:tab w:val="num" w:pos="1134"/>
        </w:tabs>
        <w:spacing w:after="120" w:line="276" w:lineRule="auto"/>
        <w:ind w:left="851"/>
        <w:rPr>
          <w:rFonts w:ascii="Calibri" w:hAnsi="Calibri"/>
          <w:sz w:val="24"/>
          <w:szCs w:val="24"/>
        </w:rPr>
      </w:pPr>
      <w:bookmarkStart w:id="58" w:name="_Toc127344058"/>
      <w:bookmarkStart w:id="59" w:name="_Toc184900797"/>
      <w:r w:rsidRPr="004B77D6">
        <w:rPr>
          <w:rFonts w:ascii="Calibri" w:hAnsi="Calibri"/>
          <w:sz w:val="24"/>
          <w:szCs w:val="24"/>
        </w:rPr>
        <w:t>ANALIZA RYZYKA I WRAŻLIWOŚCI:</w:t>
      </w:r>
      <w:bookmarkEnd w:id="58"/>
      <w:bookmarkEnd w:id="59"/>
    </w:p>
    <w:p w14:paraId="736A635E"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Przeprowadzenie oceny ryzyka pozwala na oszacowanie trwałości finansowej inwestycji finansowanej z funduszy UE. Powinna ona zatem wykazać, czy określone czynniki ryzyka nie spowodują utraty płynności finansowej.</w:t>
      </w:r>
    </w:p>
    <w:p w14:paraId="5372FD64"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Ocena ryzyka wymaga przeprowadzenia jakościowej analizy ryzyka oraz analizy wrażliwości. Dodatkowo, analiza ryzyka może być w uzasadnionych przypadkach </w:t>
      </w:r>
      <w:r w:rsidRPr="004B77D6">
        <w:rPr>
          <w:rFonts w:ascii="Calibri" w:hAnsi="Calibri"/>
          <w:szCs w:val="24"/>
        </w:rPr>
        <w:br/>
        <w:t>(w zależności do skali projektu i dostępności danych) uzupełniona o ilościową analizę ryzyka.</w:t>
      </w:r>
    </w:p>
    <w:p w14:paraId="7D6FCE73"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Analiza wrażliwości ma na celu wskazanie, jak zmiany w wartościach zmiennych krytycznych projektu wpłyną na wyniki analiz przeprowadzonych dla projektu, </w:t>
      </w:r>
      <w:r w:rsidRPr="004B77D6">
        <w:rPr>
          <w:rFonts w:ascii="Calibri" w:hAnsi="Calibri"/>
          <w:szCs w:val="24"/>
        </w:rPr>
        <w:br/>
        <w:t xml:space="preserve">a w szczególności na wartość wskaźników efektywności finansowej i ekonomicznej projektu (w szczególności FNPV/C, FNPV/K oraz ENPV) oraz trwałość finansową. </w:t>
      </w:r>
      <w:r w:rsidRPr="004B77D6">
        <w:rPr>
          <w:rFonts w:ascii="Calibri" w:hAnsi="Calibri"/>
          <w:szCs w:val="24"/>
        </w:rPr>
        <w:br/>
        <w:t>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 Według</w:t>
      </w:r>
      <w:r w:rsidRPr="004B77D6">
        <w:rPr>
          <w:rFonts w:ascii="Calibri" w:hAnsi="Calibri"/>
          <w:i/>
          <w:szCs w:val="24"/>
        </w:rPr>
        <w:t xml:space="preserve"> Przewodnika AKK</w:t>
      </w:r>
      <w:r w:rsidRPr="004B77D6">
        <w:rPr>
          <w:rFonts w:ascii="Calibri" w:hAnsi="Calibri"/>
          <w:szCs w:val="24"/>
        </w:rPr>
        <w:t xml:space="preserve">, za krytyczne uznaje się te zmienne, w przypadku których zmiana ich wartości o +/- 1 % powoduje  zmianę wartości bazowej NPV o  co najmniej +/- 1 %. W ramach analizy wrażliwości należy również dokonać obliczenia wartości progowych zmiennych w celu określenia, jaka zmiana procentowa zmiennych zrównałaby NPV (ekonomiczną lub finansową) z zerem. </w:t>
      </w:r>
    </w:p>
    <w:p w14:paraId="45500BE9" w14:textId="77777777" w:rsidR="00C2071D" w:rsidRPr="004B77D6" w:rsidRDefault="00C2071D" w:rsidP="0089006E">
      <w:pPr>
        <w:pStyle w:val="Tekstpodstawowy22"/>
        <w:numPr>
          <w:ilvl w:val="0"/>
          <w:numId w:val="30"/>
        </w:numPr>
        <w:spacing w:before="120" w:after="60" w:line="276" w:lineRule="auto"/>
        <w:ind w:left="357" w:hanging="357"/>
        <w:jc w:val="left"/>
        <w:rPr>
          <w:rFonts w:ascii="Calibri" w:hAnsi="Calibri"/>
          <w:szCs w:val="24"/>
        </w:rPr>
      </w:pPr>
      <w:r w:rsidRPr="004B77D6">
        <w:rPr>
          <w:rFonts w:ascii="Calibri" w:hAnsi="Calibri"/>
          <w:szCs w:val="24"/>
        </w:rPr>
        <w:t>Przykładowe zmienne, jakie mogą być poddane analizie w ramach analizy wrażliwości:</w:t>
      </w:r>
    </w:p>
    <w:p w14:paraId="2AE5C67B" w14:textId="7F20727B" w:rsidR="00C2071D" w:rsidRPr="004B77D6" w:rsidRDefault="00C2071D" w:rsidP="0089006E">
      <w:pPr>
        <w:pStyle w:val="Tekstpodstawowy22"/>
        <w:numPr>
          <w:ilvl w:val="1"/>
          <w:numId w:val="30"/>
        </w:numPr>
        <w:tabs>
          <w:tab w:val="clear" w:pos="1080"/>
          <w:tab w:val="num" w:pos="709"/>
        </w:tabs>
        <w:spacing w:before="60" w:after="60" w:line="276" w:lineRule="auto"/>
        <w:ind w:left="709" w:hanging="425"/>
        <w:jc w:val="left"/>
        <w:rPr>
          <w:rFonts w:ascii="Calibri" w:hAnsi="Calibri"/>
          <w:szCs w:val="24"/>
        </w:rPr>
      </w:pPr>
      <w:r w:rsidRPr="004B77D6">
        <w:rPr>
          <w:rFonts w:ascii="Calibri" w:hAnsi="Calibri"/>
          <w:szCs w:val="24"/>
        </w:rPr>
        <w:t xml:space="preserve">prognozy makroekonomiczne, określone w scenariuszach makroekonomicznych, </w:t>
      </w:r>
      <w:r w:rsidRPr="004B77D6">
        <w:rPr>
          <w:rFonts w:ascii="Calibri" w:hAnsi="Calibri"/>
          <w:szCs w:val="24"/>
        </w:rPr>
        <w:br/>
        <w:t xml:space="preserve">o których mowa w rozdziale </w:t>
      </w:r>
      <w:r w:rsidR="009A4DEF" w:rsidRPr="009A4DEF">
        <w:rPr>
          <w:rFonts w:ascii="Calibri" w:hAnsi="Calibri"/>
          <w:szCs w:val="24"/>
        </w:rPr>
        <w:t>6.4 pkt 1 lit. e)</w:t>
      </w:r>
      <w:r w:rsidR="009A4DEF">
        <w:rPr>
          <w:rFonts w:ascii="Calibri" w:hAnsi="Calibri"/>
          <w:szCs w:val="24"/>
        </w:rPr>
        <w:t xml:space="preserve"> </w:t>
      </w:r>
      <w:r w:rsidR="009A4DEF" w:rsidRPr="009A4DEF">
        <w:rPr>
          <w:rFonts w:ascii="Calibri" w:hAnsi="Calibri"/>
          <w:i/>
          <w:iCs/>
          <w:szCs w:val="24"/>
        </w:rPr>
        <w:t>Wytycznych</w:t>
      </w:r>
      <w:r w:rsidR="009A4DEF" w:rsidRPr="009A4DEF">
        <w:rPr>
          <w:i/>
          <w:iCs/>
        </w:rPr>
        <w:t xml:space="preserve"> </w:t>
      </w:r>
      <w:r w:rsidR="009A4DEF" w:rsidRPr="009A4DEF">
        <w:rPr>
          <w:rFonts w:ascii="Calibri" w:hAnsi="Calibri"/>
          <w:i/>
          <w:iCs/>
          <w:szCs w:val="24"/>
        </w:rPr>
        <w:t xml:space="preserve">dotyczących zagadnień związanych z przygotowaniem projektów inwestycyjnych, w tym hybrydowych na lata 2021-2027 </w:t>
      </w:r>
      <w:r w:rsidRPr="009A4DEF">
        <w:rPr>
          <w:rFonts w:ascii="Calibri" w:hAnsi="Calibri"/>
          <w:i/>
          <w:iCs/>
          <w:szCs w:val="24"/>
        </w:rPr>
        <w:t>, np. zmiana stopy wzrostu PKB z wariantu podstawowego na wariant pesymistyczny,</w:t>
      </w:r>
    </w:p>
    <w:p w14:paraId="4BFC388C" w14:textId="77777777" w:rsidR="00C2071D" w:rsidRPr="004B77D6" w:rsidRDefault="00C2071D" w:rsidP="0089006E">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lastRenderedPageBreak/>
        <w:t>nakłady inwestycyjne,</w:t>
      </w:r>
    </w:p>
    <w:p w14:paraId="261220DD" w14:textId="77777777" w:rsidR="00C2071D" w:rsidRPr="004B77D6" w:rsidRDefault="00C2071D" w:rsidP="0089006E">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prognoza popytu, np. prognozowane natężenie ruchu, prognozowany wolumen świadczonych usług,</w:t>
      </w:r>
    </w:p>
    <w:p w14:paraId="20837523" w14:textId="77777777" w:rsidR="00C2071D" w:rsidRPr="004B77D6" w:rsidRDefault="00C2071D" w:rsidP="0089006E">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ceny oferowanych usług,</w:t>
      </w:r>
    </w:p>
    <w:p w14:paraId="6E3171B1" w14:textId="77777777" w:rsidR="00C2071D" w:rsidRPr="004B77D6" w:rsidRDefault="00C2071D" w:rsidP="0089006E">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 xml:space="preserve">ceny jednostkowe głównych kategorii kosztów operacyjnych (np. ceny energii) </w:t>
      </w:r>
      <w:r w:rsidRPr="004B77D6">
        <w:rPr>
          <w:rFonts w:ascii="Calibri" w:hAnsi="Calibri"/>
          <w:szCs w:val="24"/>
        </w:rPr>
        <w:br/>
        <w:t>lub poziom kosztów operacyjnych ogółem,</w:t>
      </w:r>
    </w:p>
    <w:p w14:paraId="79E3730E" w14:textId="77777777" w:rsidR="00C2071D" w:rsidRPr="004B77D6" w:rsidRDefault="00C2071D" w:rsidP="0089006E">
      <w:pPr>
        <w:pStyle w:val="Tekstpodstawowy22"/>
        <w:numPr>
          <w:ilvl w:val="1"/>
          <w:numId w:val="30"/>
        </w:numPr>
        <w:tabs>
          <w:tab w:val="clear" w:pos="1080"/>
          <w:tab w:val="num" w:pos="709"/>
        </w:tabs>
        <w:spacing w:before="60" w:after="60" w:line="276" w:lineRule="auto"/>
        <w:ind w:left="850" w:hanging="510"/>
        <w:jc w:val="left"/>
        <w:rPr>
          <w:rFonts w:ascii="Calibri" w:hAnsi="Calibri"/>
          <w:szCs w:val="24"/>
        </w:rPr>
      </w:pPr>
      <w:r w:rsidRPr="004B77D6">
        <w:rPr>
          <w:rFonts w:ascii="Calibri" w:hAnsi="Calibri"/>
          <w:szCs w:val="24"/>
        </w:rPr>
        <w:t xml:space="preserve">(w analizie ekonomicznej) jednostkowe, </w:t>
      </w:r>
      <w:proofErr w:type="spellStart"/>
      <w:r w:rsidRPr="004B77D6">
        <w:rPr>
          <w:rFonts w:ascii="Calibri" w:hAnsi="Calibri"/>
          <w:szCs w:val="24"/>
        </w:rPr>
        <w:t>zmonetyzowane</w:t>
      </w:r>
      <w:proofErr w:type="spellEnd"/>
      <w:r w:rsidRPr="004B77D6">
        <w:rPr>
          <w:rFonts w:ascii="Calibri" w:hAnsi="Calibri"/>
          <w:szCs w:val="24"/>
        </w:rPr>
        <w:t xml:space="preserve"> koszty efektu zewnętrznego przyjęte w analizie, np. koszty czasu w transporcie, koszty emisji substancji toksycznych do środowiska, itd.</w:t>
      </w:r>
    </w:p>
    <w:p w14:paraId="25C1E5AF"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Niezależnie od powyższej listy, zmienne poddane analizie w ramach analizy wrażliwości powinny być dobrane w sposób odpowiadający specyfice projektu, sektora, beneficjenta/operatora. </w:t>
      </w:r>
    </w:p>
    <w:p w14:paraId="1A953F52"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Jakościowa analiza ryzyka obejmować powinna następujące elementy:</w:t>
      </w:r>
    </w:p>
    <w:p w14:paraId="6AAAF0F9" w14:textId="77777777" w:rsidR="00C2071D" w:rsidRPr="004B77D6" w:rsidRDefault="00C2071D" w:rsidP="0089006E">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Lista </w:t>
      </w:r>
      <w:proofErr w:type="spellStart"/>
      <w:r w:rsidRPr="004B77D6">
        <w:rPr>
          <w:rFonts w:ascii="Calibri" w:hAnsi="Calibri"/>
          <w:szCs w:val="24"/>
        </w:rPr>
        <w:t>ryzyk</w:t>
      </w:r>
      <w:proofErr w:type="spellEnd"/>
      <w:r w:rsidRPr="004B77D6">
        <w:rPr>
          <w:rFonts w:ascii="Calibri" w:hAnsi="Calibri"/>
          <w:szCs w:val="24"/>
        </w:rPr>
        <w:t>, na które narażony jest projekt;</w:t>
      </w:r>
    </w:p>
    <w:p w14:paraId="3AEB6589" w14:textId="77777777" w:rsidR="00C2071D" w:rsidRPr="004B77D6" w:rsidRDefault="00C2071D" w:rsidP="0089006E">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Matryca ryzyka prezentująca dla każdego ze zidentyfikowanych </w:t>
      </w:r>
      <w:proofErr w:type="spellStart"/>
      <w:r w:rsidRPr="004B77D6">
        <w:rPr>
          <w:rFonts w:ascii="Calibri" w:hAnsi="Calibri"/>
          <w:szCs w:val="24"/>
        </w:rPr>
        <w:t>ryzyk</w:t>
      </w:r>
      <w:proofErr w:type="spellEnd"/>
      <w:r w:rsidRPr="004B77D6">
        <w:rPr>
          <w:rFonts w:ascii="Calibri" w:hAnsi="Calibri"/>
          <w:szCs w:val="24"/>
        </w:rPr>
        <w:t>:</w:t>
      </w:r>
    </w:p>
    <w:p w14:paraId="73A313E1" w14:textId="77777777" w:rsidR="00C2071D" w:rsidRPr="004B77D6" w:rsidRDefault="00C2071D" w:rsidP="0089006E">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Możliwe przyczyny niepowodzenia;</w:t>
      </w:r>
    </w:p>
    <w:p w14:paraId="523E9A25" w14:textId="77777777" w:rsidR="00C2071D" w:rsidRPr="004B77D6" w:rsidRDefault="00C2071D" w:rsidP="0089006E">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Powiązanie z analizą wrażliwości (gdy ma to zastosowanie);</w:t>
      </w:r>
    </w:p>
    <w:p w14:paraId="46AC5D93" w14:textId="77777777" w:rsidR="00C2071D" w:rsidRPr="004B77D6" w:rsidRDefault="00C2071D" w:rsidP="0089006E">
      <w:pPr>
        <w:pStyle w:val="Tekstpodstawowy22"/>
        <w:numPr>
          <w:ilvl w:val="2"/>
          <w:numId w:val="30"/>
        </w:numPr>
        <w:tabs>
          <w:tab w:val="clear" w:pos="1800"/>
          <w:tab w:val="num" w:pos="1134"/>
        </w:tabs>
        <w:spacing w:before="120" w:line="276" w:lineRule="auto"/>
        <w:ind w:left="1134"/>
        <w:jc w:val="left"/>
        <w:rPr>
          <w:rFonts w:ascii="Calibri" w:hAnsi="Calibri"/>
          <w:szCs w:val="24"/>
        </w:rPr>
      </w:pPr>
      <w:r w:rsidRPr="004B77D6">
        <w:rPr>
          <w:rFonts w:ascii="Calibri" w:hAnsi="Calibri"/>
          <w:szCs w:val="24"/>
        </w:rPr>
        <w:t>Przypisanie poszczególnym ryzykom jednej z pięciu kategorii prawdopodobieństwa: marginalne, niskie, średnie, wysokie, bardzo wysokie oraz jednej z pięciu kategorii wpływu: nieistotny, niewielki, średni, znaczący, duży. Dodatkowo, należy opisać, w jakich okolicznościach prawdopodobieństwa przyporządkowane poszczególnym zmiennym mogą się zmienić</w:t>
      </w:r>
      <w:r w:rsidRPr="004B77D6">
        <w:rPr>
          <w:rStyle w:val="Odwoanieprzypisudolnego"/>
          <w:rFonts w:ascii="Calibri" w:hAnsi="Calibri"/>
          <w:szCs w:val="24"/>
        </w:rPr>
        <w:footnoteReference w:id="11"/>
      </w:r>
      <w:r w:rsidRPr="004B77D6">
        <w:rPr>
          <w:rFonts w:ascii="Calibri" w:hAnsi="Calibri"/>
          <w:szCs w:val="24"/>
        </w:rPr>
        <w:t>;</w:t>
      </w:r>
    </w:p>
    <w:p w14:paraId="5D8EABF7" w14:textId="77777777" w:rsidR="00C2071D" w:rsidRPr="004B77D6" w:rsidRDefault="00C2071D" w:rsidP="0089006E">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Ustalenie poziomu ryzyka stanowiącego wypadkową prawdopodobieństwa wystąpienia danego ryzyka i stopnia jego wpływu</w:t>
      </w:r>
      <w:r w:rsidRPr="004B77D6">
        <w:rPr>
          <w:rStyle w:val="Odwoanieprzypisudolnego"/>
          <w:rFonts w:ascii="Calibri" w:hAnsi="Calibri"/>
          <w:szCs w:val="24"/>
        </w:rPr>
        <w:footnoteReference w:id="12"/>
      </w:r>
      <w:r w:rsidRPr="004B77D6">
        <w:rPr>
          <w:rFonts w:ascii="Calibri" w:hAnsi="Calibri"/>
          <w:szCs w:val="24"/>
        </w:rPr>
        <w:t>;</w:t>
      </w:r>
    </w:p>
    <w:p w14:paraId="4567FB39" w14:textId="77777777" w:rsidR="00C2071D" w:rsidRPr="004B77D6" w:rsidRDefault="00C2071D" w:rsidP="0089006E">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Identyfikacja działań zapobiegawczych i minimalizujących;</w:t>
      </w:r>
    </w:p>
    <w:p w14:paraId="411D810A" w14:textId="77777777" w:rsidR="00C2071D" w:rsidRPr="004B77D6" w:rsidRDefault="00C2071D" w:rsidP="0089006E">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Interpretacja matrycy </w:t>
      </w:r>
      <w:proofErr w:type="spellStart"/>
      <w:r w:rsidRPr="004B77D6">
        <w:rPr>
          <w:rFonts w:ascii="Calibri" w:hAnsi="Calibri"/>
          <w:szCs w:val="24"/>
        </w:rPr>
        <w:t>ryzyk</w:t>
      </w:r>
      <w:proofErr w:type="spellEnd"/>
      <w:r w:rsidRPr="004B77D6">
        <w:rPr>
          <w:rFonts w:ascii="Calibri" w:hAnsi="Calibri"/>
          <w:szCs w:val="24"/>
        </w:rPr>
        <w:t xml:space="preserve">, w tym ocena </w:t>
      </w:r>
      <w:proofErr w:type="spellStart"/>
      <w:r w:rsidRPr="004B77D6">
        <w:rPr>
          <w:rFonts w:ascii="Calibri" w:hAnsi="Calibri"/>
          <w:szCs w:val="24"/>
        </w:rPr>
        <w:t>ryzyk</w:t>
      </w:r>
      <w:proofErr w:type="spellEnd"/>
      <w:r w:rsidRPr="004B77D6">
        <w:rPr>
          <w:rFonts w:ascii="Calibri" w:hAnsi="Calibri"/>
          <w:szCs w:val="24"/>
        </w:rPr>
        <w:t xml:space="preserve"> rezydualnych, czyli </w:t>
      </w:r>
      <w:proofErr w:type="spellStart"/>
      <w:r w:rsidRPr="004B77D6">
        <w:rPr>
          <w:rFonts w:ascii="Calibri" w:hAnsi="Calibri"/>
          <w:szCs w:val="24"/>
        </w:rPr>
        <w:t>ryzyk</w:t>
      </w:r>
      <w:proofErr w:type="spellEnd"/>
      <w:r w:rsidRPr="004B77D6">
        <w:rPr>
          <w:rFonts w:ascii="Calibri" w:hAnsi="Calibri"/>
          <w:szCs w:val="24"/>
        </w:rPr>
        <w:t xml:space="preserve"> nadal pozostałych po zastosowaniu działań zapobiegawczych i minimalizujących.</w:t>
      </w:r>
    </w:p>
    <w:p w14:paraId="377F96CE" w14:textId="77777777" w:rsidR="00C2071D" w:rsidRPr="004B77D6" w:rsidRDefault="00C2071D" w:rsidP="0089006E">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lastRenderedPageBreak/>
        <w:t xml:space="preserve">Ilościowa analiza ryzyka polega na przypisaniu krytycznym zmiennym zidentyfikowanym </w:t>
      </w:r>
      <w:r w:rsidRPr="004B77D6">
        <w:rPr>
          <w:rFonts w:ascii="Calibri" w:hAnsi="Calibri"/>
          <w:szCs w:val="24"/>
        </w:rPr>
        <w:br/>
        <w:t xml:space="preserve">na etapie analizy wrażliwości właściwego rozkładu prawdopodobieństwa i oszacowaniu rozkładu prawdopodobieństwa finansowych i ekonomicznych wskaźników efektywności </w:t>
      </w:r>
      <w:r w:rsidRPr="004B77D6">
        <w:rPr>
          <w:rFonts w:ascii="Calibri" w:hAnsi="Calibri"/>
          <w:szCs w:val="24"/>
        </w:rPr>
        <w:br/>
        <w:t xml:space="preserve">i trwałości projektu. W celu przeprowadzenia ilościowej analizy ryzyka rekomenduje się zastosowanie tzw. symulacji </w:t>
      </w:r>
      <w:r w:rsidRPr="004B77D6">
        <w:rPr>
          <w:rFonts w:ascii="Calibri" w:hAnsi="Calibri"/>
          <w:i/>
          <w:szCs w:val="24"/>
        </w:rPr>
        <w:t>Monte Carlo</w:t>
      </w:r>
      <w:r w:rsidRPr="004B77D6">
        <w:rPr>
          <w:rStyle w:val="Odwoanieprzypisudolnego"/>
          <w:rFonts w:ascii="Calibri" w:hAnsi="Calibri"/>
          <w:i/>
          <w:szCs w:val="24"/>
        </w:rPr>
        <w:footnoteReference w:id="13"/>
      </w:r>
      <w:r w:rsidRPr="004B77D6">
        <w:rPr>
          <w:rFonts w:ascii="Calibri" w:hAnsi="Calibri"/>
          <w:szCs w:val="24"/>
        </w:rPr>
        <w:t>.</w:t>
      </w:r>
    </w:p>
    <w:p w14:paraId="5895CFB9" w14:textId="0D53C0F3" w:rsidR="00C2071D" w:rsidRPr="004B77D6" w:rsidRDefault="00C2071D" w:rsidP="00C2071D">
      <w:pPr>
        <w:pStyle w:val="Nagwek1"/>
        <w:numPr>
          <w:ilvl w:val="2"/>
          <w:numId w:val="7"/>
        </w:numPr>
        <w:tabs>
          <w:tab w:val="clear" w:pos="993"/>
          <w:tab w:val="num" w:pos="1134"/>
        </w:tabs>
        <w:spacing w:after="120" w:line="276" w:lineRule="auto"/>
        <w:ind w:left="851"/>
        <w:rPr>
          <w:rFonts w:ascii="Calibri" w:hAnsi="Calibri"/>
          <w:sz w:val="24"/>
          <w:szCs w:val="24"/>
        </w:rPr>
      </w:pPr>
      <w:bookmarkStart w:id="60" w:name="_Toc127344059"/>
      <w:bookmarkStart w:id="61" w:name="_Toc184900798"/>
      <w:r w:rsidRPr="004B77D6">
        <w:rPr>
          <w:rFonts w:ascii="Calibri" w:hAnsi="Calibri"/>
          <w:sz w:val="24"/>
          <w:szCs w:val="24"/>
        </w:rPr>
        <w:t>STOSOWANIE PODEJŚCIA SZCZEGÓŁOWEGO</w:t>
      </w:r>
      <w:bookmarkEnd w:id="60"/>
      <w:bookmarkEnd w:id="61"/>
    </w:p>
    <w:p w14:paraId="064ECAC5" w14:textId="77777777" w:rsidR="00C2071D" w:rsidRPr="004B77D6" w:rsidRDefault="00C2071D" w:rsidP="00C2071D">
      <w:pPr>
        <w:pStyle w:val="Tekstpodstawowy22"/>
        <w:spacing w:before="120" w:after="120" w:line="276" w:lineRule="auto"/>
        <w:ind w:firstLine="567"/>
        <w:jc w:val="left"/>
        <w:rPr>
          <w:rFonts w:ascii="Calibri" w:hAnsi="Calibri"/>
          <w:bCs/>
          <w:szCs w:val="24"/>
        </w:rPr>
      </w:pPr>
      <w:r w:rsidRPr="004B77D6">
        <w:rPr>
          <w:rFonts w:ascii="Calibri" w:hAnsi="Calibri"/>
          <w:bCs/>
          <w:szCs w:val="24"/>
        </w:rPr>
        <w:t>Ze względu na oczywiste i możliwe różnice w podejściu do stosowania analizy finansowej i ekonomicznej oraz analizy ryzyka i wrażliwości w odniesieniu do poszczególnych sektorów lub typów projektów (np. projekty hybrydowe) przyjmuje się możliwość dopracowania założeń określonych w Wytycznych w zakresie zagadnień związanych z przygotowaniem projektów inwestycyjnych, w tym projektów hybrydowych na lata 2021-2027 w oparciu o odrębne dokumenty stanowiące zalecenia sektorowe.</w:t>
      </w:r>
    </w:p>
    <w:p w14:paraId="142CF769" w14:textId="6EB0A575" w:rsidR="00C2071D" w:rsidRPr="004B77D6" w:rsidRDefault="00C2071D" w:rsidP="00C2071D">
      <w:pPr>
        <w:pStyle w:val="Nagwek1"/>
        <w:numPr>
          <w:ilvl w:val="2"/>
          <w:numId w:val="7"/>
        </w:numPr>
        <w:tabs>
          <w:tab w:val="clear" w:pos="993"/>
          <w:tab w:val="num" w:pos="1134"/>
        </w:tabs>
        <w:spacing w:before="360" w:after="120" w:line="276" w:lineRule="auto"/>
        <w:ind w:left="851"/>
        <w:rPr>
          <w:rFonts w:ascii="Calibri" w:hAnsi="Calibri"/>
          <w:sz w:val="24"/>
          <w:szCs w:val="24"/>
        </w:rPr>
      </w:pPr>
      <w:bookmarkStart w:id="62" w:name="_Toc485046533"/>
      <w:bookmarkStart w:id="63" w:name="_Toc485382992"/>
      <w:bookmarkStart w:id="64" w:name="_Toc485046535"/>
      <w:bookmarkStart w:id="65" w:name="_Toc485382994"/>
      <w:bookmarkStart w:id="66" w:name="_Toc485046536"/>
      <w:bookmarkStart w:id="67" w:name="_Toc485382995"/>
      <w:bookmarkStart w:id="68" w:name="_Toc485046537"/>
      <w:bookmarkStart w:id="69" w:name="_Toc485382996"/>
      <w:bookmarkStart w:id="70" w:name="_Toc485046538"/>
      <w:bookmarkStart w:id="71" w:name="_Toc485382997"/>
      <w:bookmarkStart w:id="72" w:name="_Toc485046545"/>
      <w:bookmarkStart w:id="73" w:name="_Toc485383004"/>
      <w:bookmarkStart w:id="74" w:name="_Toc485046546"/>
      <w:bookmarkStart w:id="75" w:name="_Toc485383005"/>
      <w:bookmarkStart w:id="76" w:name="_Toc485046548"/>
      <w:bookmarkStart w:id="77" w:name="_Toc485383007"/>
      <w:bookmarkStart w:id="78" w:name="_Toc485046553"/>
      <w:bookmarkStart w:id="79" w:name="_Toc485383012"/>
      <w:bookmarkStart w:id="80" w:name="_Toc485046554"/>
      <w:bookmarkStart w:id="81" w:name="_Toc485383013"/>
      <w:bookmarkStart w:id="82" w:name="_Toc485046560"/>
      <w:bookmarkStart w:id="83" w:name="_Toc485383019"/>
      <w:bookmarkStart w:id="84" w:name="_Toc485046566"/>
      <w:bookmarkStart w:id="85" w:name="_Toc485383025"/>
      <w:bookmarkStart w:id="86" w:name="_Toc485046567"/>
      <w:bookmarkStart w:id="87" w:name="_Toc485383026"/>
      <w:bookmarkStart w:id="88" w:name="_Toc485046568"/>
      <w:bookmarkStart w:id="89" w:name="_Toc485383027"/>
      <w:bookmarkStart w:id="90" w:name="_Toc485046569"/>
      <w:bookmarkStart w:id="91" w:name="_Toc485383028"/>
      <w:bookmarkStart w:id="92" w:name="_Toc485046570"/>
      <w:bookmarkStart w:id="93" w:name="_Toc485383029"/>
      <w:bookmarkStart w:id="94" w:name="_Toc485046574"/>
      <w:bookmarkStart w:id="95" w:name="_Toc485383033"/>
      <w:bookmarkStart w:id="96" w:name="_Toc485046575"/>
      <w:bookmarkStart w:id="97" w:name="_Toc485383034"/>
      <w:bookmarkStart w:id="98" w:name="_Toc485046576"/>
      <w:bookmarkStart w:id="99" w:name="_Toc485383035"/>
      <w:bookmarkStart w:id="100" w:name="_Toc485046606"/>
      <w:bookmarkStart w:id="101" w:name="_Toc485383065"/>
      <w:bookmarkStart w:id="102" w:name="_Toc477857434"/>
      <w:bookmarkStart w:id="103" w:name="_Toc127344060"/>
      <w:bookmarkStart w:id="104" w:name="_Toc18490079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4B77D6">
        <w:rPr>
          <w:rFonts w:ascii="Calibri" w:hAnsi="Calibri"/>
          <w:sz w:val="24"/>
          <w:szCs w:val="24"/>
        </w:rPr>
        <w:t>SPECYFICZNE ANALIZY DLA DANEGO RODZAJU PROJEKTU/SEKTORA</w:t>
      </w:r>
      <w:bookmarkEnd w:id="102"/>
      <w:bookmarkEnd w:id="103"/>
      <w:bookmarkEnd w:id="104"/>
    </w:p>
    <w:p w14:paraId="1C1C369C" w14:textId="0C4E4591" w:rsidR="00C2071D" w:rsidRPr="004B77D6" w:rsidRDefault="00DA68B2" w:rsidP="00C2071D">
      <w:pPr>
        <w:pStyle w:val="Akapitzlist"/>
        <w:ind w:left="0" w:firstLine="567"/>
      </w:pPr>
      <w:bookmarkStart w:id="105" w:name="_Toc477857436"/>
      <w:r w:rsidRPr="00DA68B2">
        <w:rPr>
          <w:sz w:val="24"/>
          <w:szCs w:val="24"/>
        </w:rPr>
        <w:t>Dla działania 2.</w:t>
      </w:r>
      <w:r w:rsidR="00187F1C">
        <w:rPr>
          <w:sz w:val="24"/>
          <w:szCs w:val="24"/>
          <w:lang w:val="pl-PL"/>
        </w:rPr>
        <w:t>3</w:t>
      </w:r>
      <w:r w:rsidRPr="00DA68B2">
        <w:rPr>
          <w:sz w:val="24"/>
          <w:szCs w:val="24"/>
        </w:rPr>
        <w:t xml:space="preserve"> </w:t>
      </w:r>
      <w:r w:rsidR="00187F1C" w:rsidRPr="00187F1C">
        <w:rPr>
          <w:rFonts w:asciiTheme="minorHAnsi" w:hAnsiTheme="minorHAnsi" w:cstheme="minorHAnsi"/>
          <w:i/>
          <w:sz w:val="24"/>
          <w:szCs w:val="24"/>
        </w:rPr>
        <w:t>Zapobieganie zagrożeniom związanym  ze zmianą klimatu FEO 2021 – 2027</w:t>
      </w:r>
      <w:r w:rsidRPr="00DA68B2">
        <w:rPr>
          <w:sz w:val="24"/>
          <w:szCs w:val="24"/>
        </w:rPr>
        <w:t xml:space="preserve"> punkt nie dotyczy.</w:t>
      </w:r>
      <w:r w:rsidR="00C2071D" w:rsidRPr="004B77D6">
        <w:t xml:space="preserve">  </w:t>
      </w:r>
    </w:p>
    <w:p w14:paraId="0167D2BF" w14:textId="09D7B375" w:rsidR="00C2071D" w:rsidRPr="004B77D6" w:rsidRDefault="00C2071D" w:rsidP="00C2071D">
      <w:pPr>
        <w:pStyle w:val="Nagwek1"/>
        <w:numPr>
          <w:ilvl w:val="0"/>
          <w:numId w:val="0"/>
        </w:numPr>
        <w:ind w:left="567"/>
        <w:rPr>
          <w:rFonts w:asciiTheme="minorHAnsi" w:hAnsiTheme="minorHAnsi" w:cstheme="minorHAnsi"/>
          <w:b w:val="0"/>
          <w:sz w:val="24"/>
          <w:szCs w:val="24"/>
        </w:rPr>
      </w:pPr>
      <w:bookmarkStart w:id="106" w:name="_Toc127344061"/>
      <w:bookmarkStart w:id="107" w:name="_Toc184900800"/>
      <w:r w:rsidRPr="004B77D6">
        <w:rPr>
          <w:rFonts w:asciiTheme="minorHAnsi" w:hAnsiTheme="minorHAnsi" w:cstheme="minorHAnsi"/>
          <w:sz w:val="24"/>
          <w:szCs w:val="24"/>
        </w:rPr>
        <w:t xml:space="preserve">1.1.13. ODNIESIENIE DO KRYTERIÓW </w:t>
      </w:r>
      <w:r w:rsidR="00402E6E" w:rsidRPr="004B77D6">
        <w:rPr>
          <w:rFonts w:asciiTheme="minorHAnsi" w:hAnsiTheme="minorHAnsi" w:cstheme="minorHAnsi"/>
          <w:sz w:val="24"/>
          <w:szCs w:val="24"/>
          <w:lang w:val="pl-PL"/>
        </w:rPr>
        <w:t>WYBORU</w:t>
      </w:r>
      <w:r w:rsidR="00402E6E" w:rsidRPr="004B77D6">
        <w:rPr>
          <w:rFonts w:asciiTheme="minorHAnsi" w:hAnsiTheme="minorHAnsi" w:cstheme="minorHAnsi"/>
          <w:sz w:val="24"/>
          <w:szCs w:val="24"/>
        </w:rPr>
        <w:t xml:space="preserve"> </w:t>
      </w:r>
      <w:r w:rsidRPr="004B77D6">
        <w:rPr>
          <w:rFonts w:asciiTheme="minorHAnsi" w:hAnsiTheme="minorHAnsi" w:cstheme="minorHAnsi"/>
          <w:sz w:val="24"/>
          <w:szCs w:val="24"/>
        </w:rPr>
        <w:t>PROJEKTU</w:t>
      </w:r>
      <w:bookmarkEnd w:id="106"/>
      <w:bookmarkEnd w:id="107"/>
    </w:p>
    <w:p w14:paraId="070C9539" w14:textId="14F6A4F0" w:rsidR="00C2071D" w:rsidRPr="004B77D6" w:rsidRDefault="00C2071D" w:rsidP="00187F1C">
      <w:pPr>
        <w:spacing w:after="120" w:line="276" w:lineRule="auto"/>
        <w:ind w:firstLine="567"/>
        <w:rPr>
          <w:rFonts w:asciiTheme="minorHAnsi" w:hAnsiTheme="minorHAnsi" w:cs="Arial"/>
          <w:szCs w:val="24"/>
        </w:rPr>
      </w:pPr>
      <w:r w:rsidRPr="004B77D6">
        <w:rPr>
          <w:rFonts w:asciiTheme="minorHAnsi" w:hAnsiTheme="minorHAnsi" w:cs="Arial"/>
          <w:szCs w:val="24"/>
        </w:rPr>
        <w:t xml:space="preserve">W niniejszym rozdziale należy odnieść się do kryteriów merytorycznych oceny projektu określonych dla działania </w:t>
      </w:r>
      <w:r w:rsidR="00187F1C" w:rsidRPr="00187F1C">
        <w:rPr>
          <w:rFonts w:asciiTheme="minorHAnsi" w:hAnsiTheme="minorHAnsi" w:cstheme="minorHAnsi"/>
          <w:iCs/>
          <w:szCs w:val="24"/>
        </w:rPr>
        <w:t xml:space="preserve">2.3 </w:t>
      </w:r>
      <w:r w:rsidR="00187F1C" w:rsidRPr="00187F1C">
        <w:rPr>
          <w:rFonts w:asciiTheme="minorHAnsi" w:hAnsiTheme="minorHAnsi" w:cstheme="minorHAnsi"/>
          <w:i/>
          <w:szCs w:val="24"/>
        </w:rPr>
        <w:t>Zapobieganie zagrożeniom związanym  ze zmianą klimatu FEO 2021 – 2027</w:t>
      </w:r>
      <w:r w:rsidRPr="004B77D6">
        <w:rPr>
          <w:rFonts w:asciiTheme="minorHAnsi" w:hAnsiTheme="minorHAnsi" w:cs="Arial"/>
          <w:i/>
          <w:szCs w:val="24"/>
        </w:rPr>
        <w:t xml:space="preserve">, </w:t>
      </w:r>
      <w:r w:rsidRPr="004B77D6">
        <w:rPr>
          <w:rFonts w:asciiTheme="minorHAnsi" w:hAnsiTheme="minorHAnsi" w:cs="Arial"/>
          <w:szCs w:val="24"/>
        </w:rPr>
        <w:t>stanowiących</w:t>
      </w:r>
      <w:r w:rsidRPr="004B77D6">
        <w:rPr>
          <w:rFonts w:asciiTheme="minorHAnsi" w:hAnsiTheme="minorHAnsi" w:cs="Arial"/>
          <w:i/>
          <w:szCs w:val="24"/>
        </w:rPr>
        <w:t xml:space="preserve"> z</w:t>
      </w:r>
      <w:r w:rsidR="00B21759">
        <w:rPr>
          <w:rFonts w:asciiTheme="minorHAnsi" w:hAnsiTheme="minorHAnsi" w:cs="Arial"/>
          <w:szCs w:val="24"/>
        </w:rPr>
        <w:t xml:space="preserve">ałącznik nr </w:t>
      </w:r>
      <w:r w:rsidR="005A16F1">
        <w:rPr>
          <w:rFonts w:asciiTheme="minorHAnsi" w:hAnsiTheme="minorHAnsi" w:cs="Arial"/>
          <w:szCs w:val="24"/>
        </w:rPr>
        <w:t>8</w:t>
      </w:r>
      <w:r w:rsidRPr="004B77D6">
        <w:rPr>
          <w:rFonts w:asciiTheme="minorHAnsi" w:hAnsiTheme="minorHAnsi" w:cs="Arial"/>
          <w:szCs w:val="24"/>
        </w:rPr>
        <w:t xml:space="preserve"> do </w:t>
      </w:r>
      <w:r w:rsidRPr="004B77D6">
        <w:rPr>
          <w:rFonts w:asciiTheme="minorHAnsi" w:hAnsiTheme="minorHAnsi"/>
          <w:i/>
          <w:color w:val="000000"/>
          <w:szCs w:val="24"/>
        </w:rPr>
        <w:t xml:space="preserve">Regulaminu </w:t>
      </w:r>
      <w:r w:rsidRPr="004B77D6">
        <w:rPr>
          <w:rFonts w:ascii="Calibri" w:hAnsi="Calibri"/>
          <w:i/>
          <w:szCs w:val="24"/>
        </w:rPr>
        <w:t>wyboru projektów</w:t>
      </w:r>
      <w:r w:rsidRPr="004B77D6">
        <w:rPr>
          <w:rFonts w:asciiTheme="minorHAnsi" w:hAnsiTheme="minorHAnsi"/>
          <w:i/>
          <w:color w:val="000000"/>
          <w:szCs w:val="24"/>
        </w:rPr>
        <w:t>.</w:t>
      </w:r>
      <w:r w:rsidRPr="004B77D6">
        <w:rPr>
          <w:rFonts w:asciiTheme="minorHAnsi" w:hAnsiTheme="minorHAnsi" w:cs="Arial"/>
          <w:szCs w:val="24"/>
        </w:rPr>
        <w:t xml:space="preserve"> W</w:t>
      </w:r>
      <w:r w:rsidR="00982BD4">
        <w:rPr>
          <w:rFonts w:asciiTheme="minorHAnsi" w:hAnsiTheme="minorHAnsi" w:cs="Arial"/>
          <w:szCs w:val="24"/>
        </w:rPr>
        <w:t> </w:t>
      </w:r>
      <w:r w:rsidRPr="004B77D6">
        <w:rPr>
          <w:rFonts w:asciiTheme="minorHAnsi" w:hAnsiTheme="minorHAnsi" w:cs="Arial"/>
          <w:szCs w:val="24"/>
        </w:rPr>
        <w:t xml:space="preserve">przypadku gdy wartości kryteriów wynikają z dokonanych obliczeń należy zaprezentować szczegółową </w:t>
      </w:r>
      <w:r w:rsidRPr="004B77D6">
        <w:rPr>
          <w:rFonts w:asciiTheme="minorHAnsi" w:hAnsiTheme="minorHAnsi" w:cs="Arial"/>
          <w:szCs w:val="24"/>
          <w:u w:val="single"/>
        </w:rPr>
        <w:t>metodologię</w:t>
      </w:r>
      <w:r w:rsidRPr="004B77D6">
        <w:rPr>
          <w:rFonts w:asciiTheme="minorHAnsi" w:hAnsiTheme="minorHAnsi" w:cs="Arial"/>
          <w:szCs w:val="24"/>
        </w:rPr>
        <w:t xml:space="preserve"> ich obliczenia.</w:t>
      </w:r>
    </w:p>
    <w:bookmarkEnd w:id="105"/>
    <w:p w14:paraId="5C37DAFC" w14:textId="77777777" w:rsidR="00C2071D" w:rsidRPr="004B77D6" w:rsidRDefault="00C2071D" w:rsidP="00C2071D">
      <w:pPr>
        <w:spacing w:before="120" w:after="120" w:line="276" w:lineRule="auto"/>
        <w:ind w:firstLine="540"/>
        <w:rPr>
          <w:rFonts w:ascii="Calibri" w:hAnsi="Calibri"/>
          <w:szCs w:val="24"/>
        </w:rPr>
      </w:pPr>
    </w:p>
    <w:p w14:paraId="702B323D" w14:textId="60FCCCF3" w:rsidR="000F3991" w:rsidRPr="004B77D6" w:rsidRDefault="000F3991" w:rsidP="0071603D">
      <w:pPr>
        <w:keepNext/>
        <w:numPr>
          <w:ilvl w:val="0"/>
          <w:numId w:val="6"/>
        </w:numPr>
        <w:suppressAutoHyphens w:val="0"/>
        <w:spacing w:after="120" w:line="276" w:lineRule="auto"/>
        <w:outlineLvl w:val="2"/>
        <w:rPr>
          <w:rFonts w:ascii="Calibri" w:hAnsi="Calibri"/>
          <w:b/>
          <w:bCs/>
          <w:sz w:val="28"/>
          <w:szCs w:val="28"/>
          <w:lang w:val="x-none"/>
        </w:rPr>
      </w:pPr>
      <w:bookmarkStart w:id="108" w:name="_Toc477857438"/>
      <w:bookmarkStart w:id="109" w:name="_Toc485203001"/>
      <w:bookmarkStart w:id="110" w:name="_Toc184900801"/>
      <w:r w:rsidRPr="004B77D6">
        <w:rPr>
          <w:rFonts w:ascii="Calibri" w:hAnsi="Calibri"/>
          <w:b/>
          <w:bCs/>
          <w:sz w:val="28"/>
          <w:szCs w:val="28"/>
          <w:lang w:val="x-none"/>
        </w:rPr>
        <w:t>FORMULARZ W ZAKRESIE OCENY ODDZIAŁYWANIA NA ŚRODOWISKO</w:t>
      </w:r>
      <w:bookmarkEnd w:id="108"/>
      <w:bookmarkEnd w:id="109"/>
      <w:bookmarkEnd w:id="110"/>
    </w:p>
    <w:p w14:paraId="4403790F" w14:textId="77777777" w:rsidR="00361CC4" w:rsidRDefault="00361CC4" w:rsidP="00361CC4">
      <w:pPr>
        <w:spacing w:before="120" w:after="120" w:line="276" w:lineRule="auto"/>
        <w:ind w:firstLine="709"/>
        <w:rPr>
          <w:rFonts w:asciiTheme="minorHAnsi" w:hAnsiTheme="minorHAnsi" w:cstheme="minorHAnsi"/>
          <w:szCs w:val="24"/>
        </w:rPr>
      </w:pPr>
      <w:bookmarkStart w:id="111" w:name="_Toc477857445"/>
      <w:r w:rsidRPr="004B77D6">
        <w:rPr>
          <w:rFonts w:asciiTheme="minorHAnsi" w:hAnsiTheme="minorHAnsi" w:cstheme="minorHAnsi"/>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p w14:paraId="7C7FCE76" w14:textId="77777777" w:rsidR="004F6B06" w:rsidRDefault="004F6B06" w:rsidP="00361CC4">
      <w:pPr>
        <w:spacing w:before="120" w:after="120" w:line="276" w:lineRule="auto"/>
        <w:ind w:firstLine="709"/>
        <w:rPr>
          <w:rFonts w:asciiTheme="minorHAnsi" w:hAnsiTheme="minorHAnsi" w:cstheme="minorHAnsi"/>
          <w:szCs w:val="24"/>
        </w:rPr>
      </w:pPr>
    </w:p>
    <w:p w14:paraId="4DA6F76D" w14:textId="77777777" w:rsidR="004F6B06" w:rsidRDefault="004F6B06" w:rsidP="00361CC4">
      <w:pPr>
        <w:spacing w:before="120" w:after="120" w:line="276" w:lineRule="auto"/>
        <w:ind w:firstLine="709"/>
        <w:rPr>
          <w:rFonts w:asciiTheme="minorHAnsi" w:hAnsiTheme="minorHAnsi" w:cstheme="minorHAnsi"/>
          <w:szCs w:val="24"/>
        </w:rPr>
      </w:pPr>
    </w:p>
    <w:p w14:paraId="522F9950" w14:textId="77777777" w:rsidR="004F6B06" w:rsidRPr="004B77D6" w:rsidRDefault="004F6B06" w:rsidP="00361CC4">
      <w:pPr>
        <w:spacing w:before="120" w:after="120" w:line="276" w:lineRule="auto"/>
        <w:ind w:firstLine="709"/>
        <w:rPr>
          <w:rFonts w:asciiTheme="minorHAnsi" w:hAnsiTheme="minorHAnsi" w:cstheme="minorHAnsi"/>
          <w:szCs w:val="24"/>
        </w:rPr>
      </w:pP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438990EB" w14:textId="77777777" w:rsidTr="001D7621">
        <w:tc>
          <w:tcPr>
            <w:tcW w:w="9055" w:type="dxa"/>
          </w:tcPr>
          <w:p w14:paraId="4CDC7C96" w14:textId="77777777" w:rsidR="001D7621" w:rsidRPr="004B77D6" w:rsidRDefault="001D7621" w:rsidP="001D7621">
            <w:pPr>
              <w:spacing w:before="120" w:after="120" w:line="276" w:lineRule="auto"/>
              <w:rPr>
                <w:rFonts w:asciiTheme="minorHAnsi" w:hAnsiTheme="minorHAnsi" w:cstheme="minorHAnsi"/>
                <w:b/>
                <w:szCs w:val="24"/>
              </w:rPr>
            </w:pPr>
            <w:r w:rsidRPr="004B77D6">
              <w:rPr>
                <w:rFonts w:asciiTheme="minorHAnsi" w:hAnsiTheme="minorHAnsi" w:cstheme="minorHAnsi"/>
                <w:b/>
                <w:szCs w:val="24"/>
              </w:rPr>
              <w:t>Uwaga!</w:t>
            </w:r>
          </w:p>
          <w:p w14:paraId="57BE888E" w14:textId="59A61356" w:rsidR="001D7621" w:rsidRPr="004B77D6" w:rsidRDefault="001D7621" w:rsidP="001D7621">
            <w:pPr>
              <w:spacing w:before="120" w:after="120" w:line="276" w:lineRule="auto"/>
              <w:rPr>
                <w:rFonts w:cstheme="minorHAnsi"/>
                <w:szCs w:val="24"/>
              </w:rPr>
            </w:pPr>
            <w:r w:rsidRPr="004B77D6">
              <w:rPr>
                <w:rFonts w:asciiTheme="minorHAnsi" w:hAnsiTheme="minorHAnsi" w:cstheme="minorHAnsi"/>
                <w:szCs w:val="24"/>
              </w:rPr>
              <w:t xml:space="preserve">Projekt oceniany jest w zakresie wpływu na środowisko w ramach kryteriów środowiskowych. Projekty, które nie spełniają kryteriów, tj. wskazują znacząco negatywne oddziaływanie na środowisko, </w:t>
            </w:r>
            <w:r w:rsidRPr="004B77D6">
              <w:rPr>
                <w:rFonts w:asciiTheme="minorHAnsi" w:hAnsiTheme="minorHAnsi" w:cstheme="minorHAnsi"/>
                <w:b/>
                <w:szCs w:val="24"/>
              </w:rPr>
              <w:t>nie mogą być zrealizowane</w:t>
            </w:r>
            <w:r w:rsidRPr="004B77D6">
              <w:rPr>
                <w:rFonts w:asciiTheme="minorHAnsi" w:hAnsiTheme="minorHAnsi" w:cstheme="minorHAnsi"/>
                <w:szCs w:val="24"/>
              </w:rPr>
              <w:t xml:space="preserve"> ze środków FEO 2021-2027. </w:t>
            </w:r>
          </w:p>
        </w:tc>
      </w:tr>
    </w:tbl>
    <w:p w14:paraId="6BC3C8B9" w14:textId="77777777" w:rsidR="00361CC4" w:rsidRPr="004B77D6"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185C924F" w14:textId="77777777" w:rsidTr="002743D4">
        <w:tc>
          <w:tcPr>
            <w:tcW w:w="9055" w:type="dxa"/>
          </w:tcPr>
          <w:p w14:paraId="3681F3B2" w14:textId="77777777" w:rsidR="001D7621" w:rsidRPr="004B77D6" w:rsidRDefault="001D7621" w:rsidP="001D7621">
            <w:pPr>
              <w:spacing w:before="120" w:after="120" w:line="276" w:lineRule="auto"/>
              <w:rPr>
                <w:rFonts w:asciiTheme="minorHAnsi" w:hAnsiTheme="minorHAnsi" w:cstheme="minorHAnsi"/>
                <w:b/>
                <w:szCs w:val="24"/>
              </w:rPr>
            </w:pPr>
            <w:r w:rsidRPr="004B77D6">
              <w:rPr>
                <w:rFonts w:asciiTheme="minorHAnsi" w:hAnsiTheme="minorHAnsi" w:cstheme="minorHAnsi"/>
                <w:b/>
                <w:szCs w:val="24"/>
              </w:rPr>
              <w:t>PAMIĘTAJ</w:t>
            </w:r>
          </w:p>
          <w:p w14:paraId="326EB6E0" w14:textId="77777777" w:rsidR="001D7621" w:rsidRPr="004B77D6" w:rsidRDefault="001D7621" w:rsidP="001D7621">
            <w:pPr>
              <w:spacing w:before="120" w:after="120" w:line="276" w:lineRule="auto"/>
              <w:rPr>
                <w:rFonts w:asciiTheme="minorHAnsi" w:hAnsiTheme="minorHAnsi" w:cstheme="minorHAnsi"/>
                <w:szCs w:val="24"/>
              </w:rPr>
            </w:pPr>
            <w:r w:rsidRPr="004B77D6">
              <w:rPr>
                <w:rFonts w:asciiTheme="minorHAnsi" w:hAnsiTheme="minorHAnsi" w:cstheme="minorHAnsi"/>
                <w:b/>
                <w:szCs w:val="24"/>
              </w:rPr>
              <w:t>Postępowanie w sprawie oceny oddziaływania na środowisko (OOŚ)</w:t>
            </w:r>
            <w:r w:rsidRPr="004B77D6">
              <w:rPr>
                <w:rFonts w:asciiTheme="minorHAnsi" w:hAnsiTheme="minorHAnsi" w:cstheme="minorHAnsi"/>
                <w:szCs w:val="24"/>
              </w:rPr>
              <w:t xml:space="preserve"> należy przeprowadzić w oparciu o następujące dokumenty: </w:t>
            </w:r>
          </w:p>
          <w:p w14:paraId="5C6A8697" w14:textId="32A39955" w:rsidR="001D7621" w:rsidRPr="00826ECE" w:rsidRDefault="001D7621" w:rsidP="0089006E">
            <w:pPr>
              <w:pStyle w:val="Akapitzlist"/>
              <w:numPr>
                <w:ilvl w:val="0"/>
                <w:numId w:val="54"/>
              </w:numPr>
              <w:spacing w:before="120" w:after="120"/>
              <w:rPr>
                <w:rFonts w:asciiTheme="minorHAnsi" w:hAnsiTheme="minorHAnsi" w:cstheme="minorHAnsi"/>
                <w:sz w:val="24"/>
                <w:szCs w:val="24"/>
              </w:rPr>
            </w:pPr>
            <w:r w:rsidRPr="00826ECE">
              <w:rPr>
                <w:rFonts w:asciiTheme="minorHAnsi" w:hAnsiTheme="minorHAnsi" w:cstheme="minorHAnsi"/>
                <w:sz w:val="24"/>
                <w:szCs w:val="24"/>
              </w:rPr>
              <w:t>Ustawę z dnia 3 października 2008 r. o udostępnianiu informacji o środowisku i jego ochronie, udziale społeczeństwa w ochronie środowiska oraz o ocenach oddziaływania na środowisko (</w:t>
            </w:r>
            <w:proofErr w:type="spellStart"/>
            <w:r w:rsidRPr="00826ECE">
              <w:rPr>
                <w:rFonts w:asciiTheme="minorHAnsi" w:hAnsiTheme="minorHAnsi" w:cstheme="minorHAnsi"/>
                <w:sz w:val="24"/>
                <w:szCs w:val="24"/>
              </w:rPr>
              <w:t>t.j</w:t>
            </w:r>
            <w:proofErr w:type="spellEnd"/>
            <w:r w:rsidRPr="00826ECE">
              <w:rPr>
                <w:rFonts w:asciiTheme="minorHAnsi" w:hAnsiTheme="minorHAnsi" w:cstheme="minorHAnsi"/>
                <w:sz w:val="24"/>
                <w:szCs w:val="24"/>
              </w:rPr>
              <w:t>. Dz. U. z 202</w:t>
            </w:r>
            <w:r w:rsidR="00CF5A4B">
              <w:rPr>
                <w:rFonts w:asciiTheme="minorHAnsi" w:hAnsiTheme="minorHAnsi" w:cstheme="minorHAnsi"/>
                <w:sz w:val="24"/>
                <w:szCs w:val="24"/>
              </w:rPr>
              <w:t>4</w:t>
            </w:r>
            <w:r w:rsidRPr="00826ECE">
              <w:rPr>
                <w:rFonts w:asciiTheme="minorHAnsi" w:hAnsiTheme="minorHAnsi" w:cstheme="minorHAnsi"/>
                <w:sz w:val="24"/>
                <w:szCs w:val="24"/>
              </w:rPr>
              <w:t xml:space="preserve"> r. poz. </w:t>
            </w:r>
            <w:r w:rsidR="00CF5A4B">
              <w:rPr>
                <w:rFonts w:asciiTheme="minorHAnsi" w:hAnsiTheme="minorHAnsi" w:cstheme="minorHAnsi"/>
                <w:sz w:val="24"/>
                <w:szCs w:val="24"/>
              </w:rPr>
              <w:t>1112)</w:t>
            </w:r>
            <w:r w:rsidRPr="00826ECE">
              <w:rPr>
                <w:rFonts w:asciiTheme="minorHAnsi" w:hAnsiTheme="minorHAnsi" w:cstheme="minorHAnsi"/>
                <w:sz w:val="24"/>
                <w:szCs w:val="24"/>
              </w:rPr>
              <w:t xml:space="preserve">. </w:t>
            </w:r>
          </w:p>
          <w:p w14:paraId="2351E8CC" w14:textId="2AE07B13" w:rsidR="001D7621" w:rsidRPr="004B77D6" w:rsidRDefault="001D7621" w:rsidP="0089006E">
            <w:pPr>
              <w:pStyle w:val="Akapitzlist"/>
              <w:numPr>
                <w:ilvl w:val="0"/>
                <w:numId w:val="54"/>
              </w:numPr>
              <w:spacing w:before="120" w:after="120"/>
              <w:rPr>
                <w:rFonts w:cstheme="minorHAnsi"/>
                <w:sz w:val="24"/>
                <w:szCs w:val="24"/>
              </w:rPr>
            </w:pPr>
            <w:r w:rsidRPr="00826ECE">
              <w:rPr>
                <w:rFonts w:asciiTheme="minorHAnsi" w:hAnsiTheme="minorHAnsi" w:cstheme="minorHAnsi"/>
                <w:sz w:val="24"/>
                <w:szCs w:val="24"/>
              </w:rPr>
              <w:t>Rozporządzenie Rady Ministrów z dnia 10 września 2019 r. w sprawie przedsięwzięć mogących znacząco oddziaływać na środowisko (D</w:t>
            </w:r>
            <w:r w:rsidR="00826ECE">
              <w:rPr>
                <w:rFonts w:asciiTheme="minorHAnsi" w:hAnsiTheme="minorHAnsi" w:cstheme="minorHAnsi"/>
                <w:sz w:val="24"/>
                <w:szCs w:val="24"/>
              </w:rPr>
              <w:t>z.</w:t>
            </w:r>
            <w:r w:rsidR="00672030">
              <w:rPr>
                <w:rFonts w:asciiTheme="minorHAnsi" w:hAnsiTheme="minorHAnsi" w:cstheme="minorHAnsi"/>
                <w:sz w:val="24"/>
                <w:szCs w:val="24"/>
                <w:lang w:val="pl-PL"/>
              </w:rPr>
              <w:t xml:space="preserve"> </w:t>
            </w:r>
            <w:r w:rsidR="00826ECE">
              <w:rPr>
                <w:rFonts w:asciiTheme="minorHAnsi" w:hAnsiTheme="minorHAnsi" w:cstheme="minorHAnsi"/>
                <w:sz w:val="24"/>
                <w:szCs w:val="24"/>
              </w:rPr>
              <w:t xml:space="preserve">U. </w:t>
            </w:r>
            <w:r w:rsidR="00845022">
              <w:rPr>
                <w:rFonts w:asciiTheme="minorHAnsi" w:hAnsiTheme="minorHAnsi" w:cstheme="minorHAnsi"/>
                <w:sz w:val="24"/>
                <w:szCs w:val="24"/>
                <w:lang w:val="pl-PL"/>
              </w:rPr>
              <w:t xml:space="preserve">z 2019 r. </w:t>
            </w:r>
            <w:r w:rsidR="00826ECE">
              <w:rPr>
                <w:rFonts w:asciiTheme="minorHAnsi" w:hAnsiTheme="minorHAnsi" w:cstheme="minorHAnsi"/>
                <w:sz w:val="24"/>
                <w:szCs w:val="24"/>
              </w:rPr>
              <w:t>poz. 1839 ze</w:t>
            </w:r>
            <w:r w:rsidRPr="00826ECE">
              <w:rPr>
                <w:rFonts w:asciiTheme="minorHAnsi" w:hAnsiTheme="minorHAnsi" w:cstheme="minorHAnsi"/>
                <w:sz w:val="24"/>
                <w:szCs w:val="24"/>
              </w:rPr>
              <w:t xml:space="preserve"> zm</w:t>
            </w:r>
            <w:r w:rsidR="00826ECE">
              <w:rPr>
                <w:rFonts w:asciiTheme="minorHAnsi" w:hAnsiTheme="minorHAnsi" w:cstheme="minorHAnsi"/>
                <w:sz w:val="24"/>
                <w:szCs w:val="24"/>
                <w:lang w:val="pl-PL"/>
              </w:rPr>
              <w:t>.</w:t>
            </w:r>
            <w:r w:rsidRPr="00826ECE">
              <w:rPr>
                <w:rFonts w:asciiTheme="minorHAnsi" w:hAnsiTheme="minorHAnsi" w:cstheme="minorHAnsi"/>
                <w:sz w:val="24"/>
                <w:szCs w:val="24"/>
              </w:rPr>
              <w:t>).</w:t>
            </w:r>
          </w:p>
        </w:tc>
      </w:tr>
    </w:tbl>
    <w:p w14:paraId="58348847" w14:textId="4285E9F0" w:rsidR="00361CC4" w:rsidRPr="004B77D6" w:rsidRDefault="00361CC4" w:rsidP="00361CC4">
      <w:pPr>
        <w:spacing w:before="120" w:after="120" w:line="276" w:lineRule="auto"/>
        <w:ind w:firstLine="709"/>
        <w:rPr>
          <w:rFonts w:asciiTheme="minorHAnsi" w:hAnsiTheme="minorHAnsi" w:cstheme="minorHAnsi"/>
          <w:b/>
          <w:szCs w:val="24"/>
        </w:rPr>
      </w:pPr>
      <w:r w:rsidRPr="00F20DE9">
        <w:rPr>
          <w:rFonts w:asciiTheme="minorHAnsi" w:hAnsiTheme="minorHAnsi" w:cstheme="minorHAnsi"/>
          <w:szCs w:val="24"/>
        </w:rPr>
        <w:t xml:space="preserve">W celu zapewnienia transpozycji prawa wspólnotowego, 15 listopada 2008 r. weszła w życie ustawa z dnia 3 października 2008 r. </w:t>
      </w:r>
      <w:r w:rsidRPr="00F20DE9">
        <w:rPr>
          <w:rFonts w:asciiTheme="minorHAnsi" w:hAnsiTheme="minorHAnsi" w:cstheme="minorHAnsi"/>
          <w:i/>
          <w:szCs w:val="24"/>
        </w:rPr>
        <w:t>o udostępnianiu informacji o środowisku i jego ochronie, udziale społeczeństwa w ochronie środowiska oraz o ocenach oddziaływania na środowisko</w:t>
      </w:r>
      <w:r w:rsidRPr="00F20DE9">
        <w:rPr>
          <w:rFonts w:asciiTheme="minorHAnsi" w:hAnsiTheme="minorHAnsi" w:cstheme="minorHAnsi"/>
          <w:szCs w:val="24"/>
        </w:rPr>
        <w:t>.</w:t>
      </w:r>
      <w:r w:rsidRPr="004B77D6">
        <w:rPr>
          <w:rFonts w:asciiTheme="minorHAnsi" w:hAnsiTheme="minorHAnsi" w:cstheme="minorHAnsi"/>
          <w:szCs w:val="24"/>
        </w:rPr>
        <w:t xml:space="preserve"> </w:t>
      </w: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dokonuje w zakresie swojej regulacji wdrożenia m.in. Dyrektywie Parlamentu Europejskiego i Rady 2011/92/UE z dnia 13 grudnia 2011 r. w sprawie oceny skutków wywieranych przez niektóre przedsięwzięcia publiczne i prywatne na środowisko</w:t>
      </w:r>
      <w:r w:rsidR="004306A7">
        <w:rPr>
          <w:rFonts w:asciiTheme="minorHAnsi" w:hAnsiTheme="minorHAnsi" w:cstheme="minorHAnsi"/>
          <w:szCs w:val="24"/>
        </w:rPr>
        <w:t xml:space="preserve"> (tekst jednolity)</w:t>
      </w:r>
      <w:r w:rsidRPr="004B77D6">
        <w:rPr>
          <w:rFonts w:asciiTheme="minorHAnsi" w:hAnsiTheme="minorHAnsi" w:cstheme="minorHAnsi"/>
          <w:szCs w:val="24"/>
        </w:rPr>
        <w:t xml:space="preserve"> (</w:t>
      </w:r>
      <w:r w:rsidRPr="004B77D6">
        <w:rPr>
          <w:rFonts w:ascii="Calibri" w:hAnsi="Calibri"/>
          <w:szCs w:val="16"/>
        </w:rPr>
        <w:t>Dz.</w:t>
      </w:r>
      <w:r w:rsidR="00672030">
        <w:rPr>
          <w:rFonts w:ascii="Calibri" w:hAnsi="Calibri"/>
          <w:szCs w:val="16"/>
        </w:rPr>
        <w:t xml:space="preserve"> </w:t>
      </w:r>
      <w:r w:rsidRPr="004B77D6">
        <w:rPr>
          <w:rFonts w:ascii="Calibri" w:hAnsi="Calibri"/>
          <w:szCs w:val="16"/>
        </w:rPr>
        <w:t>U.</w:t>
      </w:r>
      <w:r w:rsidR="00672030">
        <w:rPr>
          <w:rFonts w:ascii="Calibri" w:hAnsi="Calibri"/>
          <w:szCs w:val="16"/>
        </w:rPr>
        <w:t xml:space="preserve"> UE.</w:t>
      </w:r>
      <w:r w:rsidRPr="004B77D6">
        <w:rPr>
          <w:rFonts w:ascii="Calibri" w:hAnsi="Calibri"/>
          <w:szCs w:val="16"/>
        </w:rPr>
        <w:t xml:space="preserve"> L</w:t>
      </w:r>
      <w:r w:rsidR="00672030">
        <w:rPr>
          <w:rFonts w:ascii="Calibri" w:hAnsi="Calibri"/>
          <w:szCs w:val="16"/>
        </w:rPr>
        <w:t>.</w:t>
      </w:r>
      <w:r w:rsidRPr="004B77D6">
        <w:rPr>
          <w:rFonts w:ascii="Calibri" w:hAnsi="Calibri"/>
          <w:szCs w:val="16"/>
        </w:rPr>
        <w:t xml:space="preserve"> z 2012</w:t>
      </w:r>
      <w:r w:rsidR="00672030">
        <w:rPr>
          <w:rFonts w:ascii="Calibri" w:hAnsi="Calibri"/>
          <w:szCs w:val="16"/>
        </w:rPr>
        <w:t xml:space="preserve"> r.</w:t>
      </w:r>
      <w:r w:rsidR="004306A7">
        <w:rPr>
          <w:rFonts w:ascii="Calibri" w:hAnsi="Calibri"/>
          <w:szCs w:val="16"/>
        </w:rPr>
        <w:t xml:space="preserve"> Nr 26, </w:t>
      </w:r>
      <w:r w:rsidRPr="004B77D6">
        <w:rPr>
          <w:rFonts w:ascii="Calibri" w:hAnsi="Calibri"/>
          <w:szCs w:val="16"/>
        </w:rPr>
        <w:t>s</w:t>
      </w:r>
      <w:r w:rsidR="004306A7">
        <w:rPr>
          <w:rFonts w:ascii="Calibri" w:hAnsi="Calibri"/>
          <w:szCs w:val="16"/>
        </w:rPr>
        <w:t>tr</w:t>
      </w:r>
      <w:r w:rsidRPr="004B77D6">
        <w:rPr>
          <w:rFonts w:ascii="Calibri" w:hAnsi="Calibri"/>
          <w:szCs w:val="16"/>
        </w:rPr>
        <w:t>. 1, zmienionej przez dyrektywę 2014/52/UE z dnia 16 kwietnia 2014</w:t>
      </w:r>
      <w:r w:rsidR="004306A7">
        <w:rPr>
          <w:rFonts w:ascii="Calibri" w:hAnsi="Calibri"/>
          <w:szCs w:val="16"/>
        </w:rPr>
        <w:t xml:space="preserve"> r</w:t>
      </w:r>
      <w:r w:rsidRPr="004B77D6">
        <w:rPr>
          <w:rFonts w:asciiTheme="minorHAnsi" w:hAnsiTheme="minorHAnsi" w:cstheme="minorHAnsi"/>
          <w:szCs w:val="24"/>
        </w:rPr>
        <w:t>.).</w:t>
      </w:r>
    </w:p>
    <w:p w14:paraId="725CEE79" w14:textId="77777777" w:rsidR="00361CC4" w:rsidRPr="004B77D6" w:rsidRDefault="00361CC4" w:rsidP="00361CC4">
      <w:pPr>
        <w:spacing w:before="120" w:after="120" w:line="276" w:lineRule="auto"/>
        <w:ind w:firstLine="709"/>
        <w:rPr>
          <w:rFonts w:asciiTheme="minorHAnsi" w:hAnsiTheme="minorHAnsi" w:cstheme="minorHAnsi"/>
          <w:szCs w:val="24"/>
        </w:rPr>
      </w:pP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dzieli przedsięwzięcia mogące znacząco oddziaływać na środowisko na:</w:t>
      </w:r>
    </w:p>
    <w:p w14:paraId="72357A43"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t xml:space="preserve">przedsięwzięcia mogące </w:t>
      </w:r>
      <w:r w:rsidRPr="004B77D6">
        <w:rPr>
          <w:rFonts w:asciiTheme="minorHAnsi" w:hAnsiTheme="minorHAnsi" w:cstheme="minorHAnsi"/>
          <w:b/>
          <w:szCs w:val="24"/>
        </w:rPr>
        <w:t>zawsze</w:t>
      </w:r>
      <w:r w:rsidRPr="004B77D6">
        <w:rPr>
          <w:rFonts w:asciiTheme="minorHAnsi" w:hAnsiTheme="minorHAnsi" w:cstheme="minorHAnsi"/>
          <w:szCs w:val="24"/>
        </w:rPr>
        <w:t xml:space="preserve"> znacząco oddziaływać na środowisko (tzw. przedsięwzięcia z</w:t>
      </w:r>
      <w:r w:rsidRPr="004B77D6">
        <w:rPr>
          <w:rFonts w:asciiTheme="minorHAnsi" w:hAnsiTheme="minorHAnsi" w:cstheme="minorHAnsi"/>
          <w:b/>
          <w:szCs w:val="24"/>
        </w:rPr>
        <w:t xml:space="preserve"> grupy I</w:t>
      </w:r>
      <w:r w:rsidRPr="004B77D6">
        <w:rPr>
          <w:rFonts w:asciiTheme="minorHAnsi" w:hAnsiTheme="minorHAnsi" w:cstheme="minorHAnsi"/>
          <w:szCs w:val="24"/>
        </w:rPr>
        <w:t>),</w:t>
      </w:r>
    </w:p>
    <w:p w14:paraId="08A0422C"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lastRenderedPageBreak/>
        <w:t xml:space="preserve">przedsięwzięcia mogące </w:t>
      </w:r>
      <w:r w:rsidRPr="004B77D6">
        <w:rPr>
          <w:rFonts w:asciiTheme="minorHAnsi" w:hAnsiTheme="minorHAnsi" w:cstheme="minorHAnsi"/>
          <w:b/>
          <w:szCs w:val="24"/>
        </w:rPr>
        <w:t>potencjalnie</w:t>
      </w:r>
      <w:r w:rsidRPr="004B77D6">
        <w:rPr>
          <w:rFonts w:asciiTheme="minorHAnsi" w:hAnsiTheme="minorHAnsi" w:cstheme="minorHAnsi"/>
          <w:szCs w:val="24"/>
        </w:rPr>
        <w:t xml:space="preserve"> znacząco oddziaływać na środowisko (tzw. przedsięwzięcia z </w:t>
      </w:r>
      <w:r w:rsidRPr="004B77D6">
        <w:rPr>
          <w:rFonts w:asciiTheme="minorHAnsi" w:hAnsiTheme="minorHAnsi" w:cstheme="minorHAnsi"/>
          <w:b/>
          <w:szCs w:val="24"/>
        </w:rPr>
        <w:t>grupy II</w:t>
      </w:r>
      <w:r w:rsidRPr="004B77D6">
        <w:rPr>
          <w:rFonts w:asciiTheme="minorHAnsi" w:hAnsiTheme="minorHAnsi" w:cstheme="minorHAnsi"/>
          <w:szCs w:val="24"/>
        </w:rPr>
        <w:t>),</w:t>
      </w:r>
    </w:p>
    <w:p w14:paraId="07173FC5"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t xml:space="preserve">przedsięwzięcia mogące znacząco oddziaływać na </w:t>
      </w:r>
      <w:r w:rsidRPr="004B77D6">
        <w:rPr>
          <w:rFonts w:asciiTheme="minorHAnsi" w:hAnsiTheme="minorHAnsi" w:cstheme="minorHAnsi"/>
          <w:b/>
          <w:szCs w:val="24"/>
        </w:rPr>
        <w:t>obszar Natura 2000</w:t>
      </w:r>
      <w:r w:rsidRPr="004B77D6">
        <w:rPr>
          <w:rFonts w:asciiTheme="minorHAnsi" w:hAnsiTheme="minorHAnsi" w:cstheme="minorHAnsi"/>
          <w:szCs w:val="24"/>
        </w:rPr>
        <w:t xml:space="preserve"> (tzw. przedsięwzięcia z </w:t>
      </w:r>
      <w:r w:rsidRPr="004B77D6">
        <w:rPr>
          <w:rFonts w:asciiTheme="minorHAnsi" w:hAnsiTheme="minorHAnsi" w:cstheme="minorHAnsi"/>
          <w:b/>
          <w:szCs w:val="24"/>
        </w:rPr>
        <w:t>grupy III</w:t>
      </w:r>
      <w:r w:rsidRPr="004B77D6">
        <w:rPr>
          <w:rFonts w:asciiTheme="minorHAnsi" w:hAnsiTheme="minorHAnsi" w:cstheme="minorHAnsi"/>
          <w:szCs w:val="24"/>
        </w:rPr>
        <w:t>).</w:t>
      </w:r>
    </w:p>
    <w:p w14:paraId="21F61B5F" w14:textId="1C0D5418" w:rsidR="00361CC4" w:rsidRPr="004B77D6" w:rsidRDefault="00361CC4" w:rsidP="00361CC4">
      <w:pPr>
        <w:spacing w:before="120" w:after="120" w:line="276" w:lineRule="auto"/>
        <w:ind w:firstLine="709"/>
        <w:rPr>
          <w:rFonts w:asciiTheme="minorHAnsi" w:hAnsiTheme="minorHAnsi" w:cstheme="minorHAnsi"/>
          <w:szCs w:val="24"/>
          <w:u w:val="single"/>
        </w:rPr>
      </w:pPr>
      <w:r w:rsidRPr="004B77D6">
        <w:rPr>
          <w:rFonts w:asciiTheme="minorHAnsi" w:hAnsiTheme="minorHAnsi" w:cstheme="minorHAnsi"/>
          <w:szCs w:val="24"/>
          <w:u w:val="single"/>
        </w:rPr>
        <w:t xml:space="preserve">Rodzaje przedsięwzięć mogących zawsze lub potencjalnie znacząco oddziaływać na środowisko określa rozporządzenie Rady Ministrów z dnia 10 września 2019 r. </w:t>
      </w:r>
      <w:r w:rsidRPr="004B77D6">
        <w:rPr>
          <w:rFonts w:asciiTheme="minorHAnsi" w:hAnsiTheme="minorHAnsi" w:cstheme="minorHAnsi"/>
          <w:i/>
          <w:szCs w:val="24"/>
          <w:u w:val="single"/>
        </w:rPr>
        <w:t>w sprawie przedsięwzięć mogących znacząco oddziaływać na środowisko</w:t>
      </w:r>
      <w:r w:rsidRPr="004B77D6">
        <w:rPr>
          <w:rFonts w:asciiTheme="minorHAnsi" w:hAnsiTheme="minorHAnsi" w:cstheme="minorHAnsi"/>
          <w:szCs w:val="24"/>
          <w:u w:val="single"/>
        </w:rPr>
        <w:t xml:space="preserve"> (Dz</w:t>
      </w:r>
      <w:r w:rsidR="00F20DE9">
        <w:rPr>
          <w:rFonts w:asciiTheme="minorHAnsi" w:hAnsiTheme="minorHAnsi" w:cstheme="minorHAnsi"/>
          <w:szCs w:val="24"/>
          <w:u w:val="single"/>
        </w:rPr>
        <w:t>.</w:t>
      </w:r>
      <w:r w:rsidR="004306A7">
        <w:rPr>
          <w:rFonts w:asciiTheme="minorHAnsi" w:hAnsiTheme="minorHAnsi" w:cstheme="minorHAnsi"/>
          <w:szCs w:val="24"/>
          <w:u w:val="single"/>
        </w:rPr>
        <w:t xml:space="preserve"> </w:t>
      </w:r>
      <w:r w:rsidR="00F20DE9">
        <w:rPr>
          <w:rFonts w:asciiTheme="minorHAnsi" w:hAnsiTheme="minorHAnsi" w:cstheme="minorHAnsi"/>
          <w:szCs w:val="24"/>
          <w:u w:val="single"/>
        </w:rPr>
        <w:t xml:space="preserve">U. </w:t>
      </w:r>
      <w:r w:rsidR="00845022">
        <w:rPr>
          <w:rFonts w:asciiTheme="minorHAnsi" w:hAnsiTheme="minorHAnsi" w:cstheme="minorHAnsi"/>
          <w:szCs w:val="24"/>
          <w:u w:val="single"/>
        </w:rPr>
        <w:t xml:space="preserve">z 2019 r. </w:t>
      </w:r>
      <w:r w:rsidR="00F20DE9">
        <w:rPr>
          <w:rFonts w:asciiTheme="minorHAnsi" w:hAnsiTheme="minorHAnsi" w:cstheme="minorHAnsi"/>
          <w:szCs w:val="24"/>
          <w:u w:val="single"/>
        </w:rPr>
        <w:t>poz. 1839 ze</w:t>
      </w:r>
      <w:r w:rsidRPr="004B77D6">
        <w:rPr>
          <w:rFonts w:asciiTheme="minorHAnsi" w:hAnsiTheme="minorHAnsi" w:cstheme="minorHAnsi"/>
          <w:szCs w:val="24"/>
          <w:u w:val="single"/>
        </w:rPr>
        <w:t xml:space="preserve"> zm.). </w:t>
      </w:r>
    </w:p>
    <w:p w14:paraId="7984C4D4" w14:textId="77777777" w:rsidR="00361CC4" w:rsidRPr="004B77D6" w:rsidRDefault="00361CC4" w:rsidP="00361CC4">
      <w:pPr>
        <w:autoSpaceDE w:val="0"/>
        <w:autoSpaceDN w:val="0"/>
        <w:adjustRightInd w:val="0"/>
        <w:spacing w:before="120" w:after="120" w:line="276" w:lineRule="auto"/>
        <w:ind w:firstLine="709"/>
        <w:rPr>
          <w:rFonts w:asciiTheme="minorHAnsi" w:hAnsiTheme="minorHAnsi" w:cstheme="minorHAnsi"/>
          <w:b/>
          <w:szCs w:val="24"/>
        </w:rPr>
      </w:pPr>
      <w:r w:rsidRPr="004B77D6">
        <w:rPr>
          <w:rFonts w:asciiTheme="minorHAnsi" w:hAnsiTheme="minorHAnsi" w:cstheme="minorHAnsi"/>
          <w:b/>
          <w:szCs w:val="24"/>
        </w:rPr>
        <w:t>W świetle przepisów realizacja planowanego przedsięwzięcia z I, II lub III grupy, jest dopuszczalna wyłącznie po uzyskaniu decyzji o środowiskowych uwarunkowaniach.</w:t>
      </w:r>
    </w:p>
    <w:p w14:paraId="757FF77E" w14:textId="77777777" w:rsidR="00361CC4" w:rsidRPr="004B77D6" w:rsidRDefault="00361CC4" w:rsidP="00361CC4">
      <w:pPr>
        <w:suppressAutoHyphens w:val="0"/>
        <w:autoSpaceDE w:val="0"/>
        <w:autoSpaceDN w:val="0"/>
        <w:adjustRightInd w:val="0"/>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Zaleca się wnioskodawcom umieszczenie we wniosku o wydanie decyzji o środowiskowych uwarunkowaniach, w ramach opisu przedsięwzięcia, informacji, </w:t>
      </w:r>
      <w:r w:rsidRPr="004B77D6">
        <w:rPr>
          <w:rFonts w:asciiTheme="minorHAnsi" w:hAnsiTheme="minorHAnsi" w:cstheme="minorHAnsi"/>
          <w:szCs w:val="24"/>
        </w:rPr>
        <w:br/>
        <w:t>iż Wnioskodawca ubiega się o dofinansowanie przedsięwzięcia ze środków Unii Europejskiej w ramach właściwego Programu Operacyjnego.</w:t>
      </w:r>
    </w:p>
    <w:p w14:paraId="49468DFD" w14:textId="35E6BC04" w:rsidR="00361CC4" w:rsidRPr="004B77D6"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Wszyscy wnioskodawcy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w:t>
      </w:r>
      <w:r w:rsidR="00F20DE9">
        <w:rPr>
          <w:rFonts w:asciiTheme="minorHAnsi" w:hAnsiTheme="minorHAnsi" w:cstheme="minorHAnsi"/>
          <w:szCs w:val="24"/>
        </w:rPr>
        <w:t>ę</w:t>
      </w:r>
      <w:r w:rsidRPr="004B77D6">
        <w:rPr>
          <w:rFonts w:asciiTheme="minorHAnsi" w:hAnsiTheme="minorHAnsi" w:cstheme="minorHAnsi"/>
          <w:szCs w:val="24"/>
        </w:rPr>
        <w:t xml:space="preserve"> zrównoważonego rozwoju i </w:t>
      </w:r>
      <w:r w:rsidR="00F20DE9">
        <w:rPr>
          <w:rFonts w:asciiTheme="minorHAnsi" w:hAnsiTheme="minorHAnsi" w:cstheme="minorHAnsi"/>
          <w:szCs w:val="24"/>
        </w:rPr>
        <w:t>odporność na zmiany klimatu</w:t>
      </w:r>
      <w:r w:rsidRPr="004B77D6">
        <w:rPr>
          <w:rFonts w:asciiTheme="minorHAnsi" w:hAnsiTheme="minorHAnsi" w:cstheme="minorHAnsi"/>
          <w:szCs w:val="24"/>
        </w:rPr>
        <w:t xml:space="preserve"> wskazane </w:t>
      </w:r>
      <w:r w:rsidR="00F20DE9">
        <w:rPr>
          <w:rFonts w:asciiTheme="minorHAnsi" w:hAnsiTheme="minorHAnsi" w:cstheme="minorHAnsi"/>
          <w:szCs w:val="24"/>
        </w:rPr>
        <w:t>we wzorze załącznika  nr </w:t>
      </w:r>
      <w:r w:rsidRPr="004B77D6">
        <w:rPr>
          <w:rFonts w:asciiTheme="minorHAnsi" w:hAnsiTheme="minorHAnsi" w:cstheme="minorHAnsi"/>
          <w:szCs w:val="24"/>
        </w:rPr>
        <w:t>2</w:t>
      </w:r>
      <w:r w:rsidRPr="004B77D6">
        <w:rPr>
          <w:rFonts w:asciiTheme="minorHAnsi" w:hAnsiTheme="minorHAnsi" w:cstheme="minorHAnsi"/>
          <w:color w:val="000000"/>
          <w:szCs w:val="24"/>
        </w:rPr>
        <w:t>.</w:t>
      </w:r>
      <w:r w:rsidRPr="004B77D6">
        <w:rPr>
          <w:rFonts w:asciiTheme="minorHAnsi" w:hAnsiTheme="minorHAnsi" w:cstheme="minorHAnsi"/>
          <w:szCs w:val="24"/>
        </w:rPr>
        <w:t xml:space="preserve"> </w:t>
      </w:r>
    </w:p>
    <w:p w14:paraId="32C20E6F" w14:textId="2E8DC9C0" w:rsidR="00361CC4" w:rsidRPr="004B77D6"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w:t>
      </w:r>
      <w:r w:rsidRPr="004B77D6">
        <w:rPr>
          <w:rFonts w:asciiTheme="minorHAnsi" w:hAnsiTheme="minorHAnsi" w:cstheme="minorHAnsi"/>
          <w:b/>
          <w:szCs w:val="24"/>
        </w:rPr>
        <w:t>projektów inwestycyjnych wymagających przeprowadzenia postępowania w sprawie OOŚ,</w:t>
      </w:r>
      <w:r w:rsidRPr="004B77D6">
        <w:rPr>
          <w:rFonts w:asciiTheme="minorHAnsi" w:hAnsiTheme="minorHAnsi" w:cstheme="minorHAnsi"/>
          <w:szCs w:val="24"/>
        </w:rPr>
        <w:t xml:space="preserve"> tj. projektów dotyczących przedsięwzięć wskazanych </w:t>
      </w:r>
      <w:r w:rsidRPr="004B77D6">
        <w:rPr>
          <w:rFonts w:asciiTheme="minorHAnsi" w:hAnsiTheme="minorHAnsi" w:cstheme="minorHAnsi"/>
          <w:szCs w:val="24"/>
        </w:rPr>
        <w:br/>
        <w:t xml:space="preserve">w ww. rozporządzeniach oraz Dyrektywie Parlamentu Europejskiego i Rady 2011/92/UE </w:t>
      </w:r>
      <w:r w:rsidRPr="004B77D6">
        <w:rPr>
          <w:rFonts w:asciiTheme="minorHAnsi" w:hAnsiTheme="minorHAnsi" w:cstheme="minorHAnsi"/>
          <w:szCs w:val="24"/>
        </w:rPr>
        <w:br/>
        <w:t xml:space="preserve">z dnia 13 grudnia 2011 r. w sprawie oceny skutków wywieranych przez niektóre przedsięwzięcia publiczne i prywatne na środowisko </w:t>
      </w:r>
      <w:r w:rsidR="005353C4">
        <w:rPr>
          <w:rFonts w:asciiTheme="minorHAnsi" w:hAnsiTheme="minorHAnsi" w:cstheme="minorHAnsi"/>
          <w:szCs w:val="24"/>
        </w:rPr>
        <w:t>(tekst jednolity)</w:t>
      </w:r>
      <w:r w:rsidR="005353C4" w:rsidRPr="004B77D6">
        <w:rPr>
          <w:rFonts w:asciiTheme="minorHAnsi" w:hAnsiTheme="minorHAnsi" w:cstheme="minorHAnsi"/>
          <w:szCs w:val="24"/>
        </w:rPr>
        <w:t xml:space="preserve"> (</w:t>
      </w:r>
      <w:r w:rsidR="005353C4" w:rsidRPr="004B77D6">
        <w:rPr>
          <w:rFonts w:ascii="Calibri" w:hAnsi="Calibri"/>
          <w:szCs w:val="16"/>
        </w:rPr>
        <w:t>Dz.</w:t>
      </w:r>
      <w:r w:rsidR="005353C4">
        <w:rPr>
          <w:rFonts w:ascii="Calibri" w:hAnsi="Calibri"/>
          <w:szCs w:val="16"/>
        </w:rPr>
        <w:t xml:space="preserve"> </w:t>
      </w:r>
      <w:r w:rsidR="005353C4" w:rsidRPr="004B77D6">
        <w:rPr>
          <w:rFonts w:ascii="Calibri" w:hAnsi="Calibri"/>
          <w:szCs w:val="16"/>
        </w:rPr>
        <w:t>U.</w:t>
      </w:r>
      <w:r w:rsidR="005353C4">
        <w:rPr>
          <w:rFonts w:ascii="Calibri" w:hAnsi="Calibri"/>
          <w:szCs w:val="16"/>
        </w:rPr>
        <w:t xml:space="preserve"> UE.</w:t>
      </w:r>
      <w:r w:rsidR="005353C4" w:rsidRPr="004B77D6">
        <w:rPr>
          <w:rFonts w:ascii="Calibri" w:hAnsi="Calibri"/>
          <w:szCs w:val="16"/>
        </w:rPr>
        <w:t xml:space="preserve"> L</w:t>
      </w:r>
      <w:r w:rsidR="005353C4">
        <w:rPr>
          <w:rFonts w:ascii="Calibri" w:hAnsi="Calibri"/>
          <w:szCs w:val="16"/>
        </w:rPr>
        <w:t>.</w:t>
      </w:r>
      <w:r w:rsidR="005353C4" w:rsidRPr="004B77D6">
        <w:rPr>
          <w:rFonts w:ascii="Calibri" w:hAnsi="Calibri"/>
          <w:szCs w:val="16"/>
        </w:rPr>
        <w:t xml:space="preserve"> z 2012</w:t>
      </w:r>
      <w:r w:rsidR="005353C4">
        <w:rPr>
          <w:rFonts w:ascii="Calibri" w:hAnsi="Calibri"/>
          <w:szCs w:val="16"/>
        </w:rPr>
        <w:t xml:space="preserve"> r. Nr 26, </w:t>
      </w:r>
      <w:r w:rsidR="005353C4" w:rsidRPr="004B77D6">
        <w:rPr>
          <w:rFonts w:ascii="Calibri" w:hAnsi="Calibri"/>
          <w:szCs w:val="16"/>
        </w:rPr>
        <w:t>s</w:t>
      </w:r>
      <w:r w:rsidR="005353C4">
        <w:rPr>
          <w:rFonts w:ascii="Calibri" w:hAnsi="Calibri"/>
          <w:szCs w:val="16"/>
        </w:rPr>
        <w:t>tr</w:t>
      </w:r>
      <w:r w:rsidR="005353C4" w:rsidRPr="004B77D6">
        <w:rPr>
          <w:rFonts w:ascii="Calibri" w:hAnsi="Calibri"/>
          <w:szCs w:val="16"/>
        </w:rPr>
        <w:t>. 1</w:t>
      </w:r>
      <w:r w:rsidRPr="004B77D6">
        <w:rPr>
          <w:rFonts w:asciiTheme="minorHAnsi" w:hAnsiTheme="minorHAnsi" w:cstheme="minorHAnsi"/>
          <w:szCs w:val="24"/>
        </w:rPr>
        <w:t>, zmienionej przez dyrektywę 2014/52/UE z dnia 16 kwietnia 2014 r.</w:t>
      </w:r>
      <w:r w:rsidR="005353C4">
        <w:rPr>
          <w:rFonts w:asciiTheme="minorHAnsi" w:hAnsiTheme="minorHAnsi" w:cstheme="minorHAnsi"/>
          <w:szCs w:val="24"/>
        </w:rPr>
        <w:t>)</w:t>
      </w:r>
      <w:r w:rsidRPr="004B77D6">
        <w:rPr>
          <w:rFonts w:asciiTheme="minorHAnsi" w:hAnsiTheme="minorHAnsi" w:cstheme="minorHAnsi"/>
          <w:szCs w:val="24"/>
        </w:rPr>
        <w:t xml:space="preserve">, beneficjenci zobowiązani są dołączyć decyzję o środowiskowych uwarunkowaniach (zgodnie z procedurą określoną w art. 80-86 </w:t>
      </w: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24AEBCCB" w14:textId="77777777" w:rsidTr="002743D4">
        <w:tc>
          <w:tcPr>
            <w:tcW w:w="9055" w:type="dxa"/>
          </w:tcPr>
          <w:p w14:paraId="2D6B2317" w14:textId="77777777" w:rsidR="001D7621" w:rsidRPr="004B77D6" w:rsidRDefault="001D7621" w:rsidP="001D7621">
            <w:pPr>
              <w:spacing w:before="120" w:after="120" w:line="276" w:lineRule="auto"/>
              <w:rPr>
                <w:rFonts w:asciiTheme="minorHAnsi" w:hAnsiTheme="minorHAnsi" w:cstheme="minorHAnsi"/>
                <w:szCs w:val="24"/>
              </w:rPr>
            </w:pPr>
            <w:r w:rsidRPr="004B77D6">
              <w:rPr>
                <w:rFonts w:asciiTheme="minorHAnsi" w:hAnsiTheme="minorHAnsi" w:cstheme="minorHAnsi"/>
                <w:b/>
                <w:szCs w:val="24"/>
              </w:rPr>
              <w:t>Uwaga!</w:t>
            </w:r>
          </w:p>
          <w:p w14:paraId="242E70EB" w14:textId="376BE74C" w:rsidR="001D7621" w:rsidRPr="004B77D6" w:rsidRDefault="001D7621" w:rsidP="001D7621">
            <w:pPr>
              <w:spacing w:before="120" w:after="120" w:line="276" w:lineRule="auto"/>
              <w:rPr>
                <w:rFonts w:cstheme="minorHAnsi"/>
                <w:szCs w:val="24"/>
              </w:rPr>
            </w:pPr>
            <w:r w:rsidRPr="004B77D6">
              <w:rPr>
                <w:rFonts w:asciiTheme="minorHAnsi" w:hAnsiTheme="minorHAnsi" w:cstheme="minorHAnsi"/>
                <w:szCs w:val="24"/>
              </w:rPr>
              <w:t>W przypadku braku decyzji środowiskowej, Wnioskodawca jest zobowiązany załączyć oświadczenie o braku konieczności przeprowadzenia postępowania w sprawie OOŚ</w:t>
            </w:r>
            <w:r w:rsidRPr="004B77D6">
              <w:rPr>
                <w:rFonts w:asciiTheme="minorHAnsi" w:hAnsiTheme="minorHAnsi" w:cstheme="minorHAnsi"/>
                <w:b/>
                <w:szCs w:val="24"/>
              </w:rPr>
              <w:t xml:space="preserve"> </w:t>
            </w:r>
            <w:r w:rsidRPr="004B77D6">
              <w:rPr>
                <w:rFonts w:asciiTheme="minorHAnsi" w:hAnsiTheme="minorHAnsi" w:cstheme="minorHAnsi"/>
                <w:szCs w:val="24"/>
              </w:rPr>
              <w:t>i wydania decyzji o środowiskowych uwarunkowaniach.</w:t>
            </w:r>
          </w:p>
        </w:tc>
      </w:tr>
    </w:tbl>
    <w:p w14:paraId="3E071B34" w14:textId="10819395" w:rsidR="00361CC4" w:rsidRPr="004B77D6" w:rsidRDefault="00361CC4" w:rsidP="00361CC4">
      <w:pPr>
        <w:autoSpaceDE w:val="0"/>
        <w:autoSpaceDN w:val="0"/>
        <w:adjustRightInd w:val="0"/>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projektów </w:t>
      </w:r>
      <w:r w:rsidRPr="004B77D6">
        <w:rPr>
          <w:rFonts w:asciiTheme="minorHAnsi" w:hAnsiTheme="minorHAnsi" w:cstheme="minorHAnsi"/>
          <w:b/>
          <w:szCs w:val="24"/>
        </w:rPr>
        <w:t>nie</w:t>
      </w:r>
      <w:r w:rsidRPr="004B77D6">
        <w:rPr>
          <w:rFonts w:asciiTheme="minorHAnsi" w:hAnsiTheme="minorHAnsi" w:cstheme="minorHAnsi"/>
          <w:szCs w:val="24"/>
        </w:rPr>
        <w:t xml:space="preserve"> </w:t>
      </w:r>
      <w:r w:rsidRPr="004B77D6">
        <w:rPr>
          <w:rFonts w:asciiTheme="minorHAnsi" w:hAnsiTheme="minorHAnsi" w:cstheme="minorHAnsi"/>
          <w:b/>
          <w:szCs w:val="24"/>
        </w:rPr>
        <w:t>wymagających przeprowadzenia postępowania</w:t>
      </w:r>
      <w:r w:rsidR="001D7621" w:rsidRPr="004B77D6">
        <w:rPr>
          <w:rFonts w:asciiTheme="minorHAnsi" w:hAnsiTheme="minorHAnsi" w:cstheme="minorHAnsi"/>
          <w:b/>
          <w:szCs w:val="24"/>
        </w:rPr>
        <w:t xml:space="preserve"> w </w:t>
      </w:r>
      <w:r w:rsidRPr="004B77D6">
        <w:rPr>
          <w:rFonts w:asciiTheme="minorHAnsi" w:hAnsiTheme="minorHAnsi" w:cstheme="minorHAnsi"/>
          <w:b/>
          <w:szCs w:val="24"/>
        </w:rPr>
        <w:t>sprawie OOŚ,</w:t>
      </w:r>
      <w:r w:rsidRPr="004B77D6">
        <w:rPr>
          <w:rFonts w:asciiTheme="minorHAnsi" w:hAnsiTheme="minorHAnsi" w:cstheme="minorHAnsi"/>
          <w:szCs w:val="24"/>
        </w:rPr>
        <w:t xml:space="preserve"> tj. przedsięwzięć nie ujętych w ww. rozporządzeniach oraz Dyrektywie </w:t>
      </w:r>
      <w:r w:rsidRPr="004B77D6">
        <w:rPr>
          <w:rFonts w:asciiTheme="minorHAnsi" w:hAnsiTheme="minorHAnsi" w:cstheme="minorHAnsi"/>
          <w:szCs w:val="24"/>
        </w:rPr>
        <w:lastRenderedPageBreak/>
        <w:t xml:space="preserve">Parlamentu Europejskiego i Rady 2011/92/UE z dnia 13 grudnia 2011 r. w sprawie oceny skutków wywieranych przez niektóre przedsięwzięcia publiczne i prywatne na środowisko </w:t>
      </w:r>
      <w:r w:rsidR="005353C4">
        <w:rPr>
          <w:rFonts w:asciiTheme="minorHAnsi" w:hAnsiTheme="minorHAnsi" w:cstheme="minorHAnsi"/>
          <w:szCs w:val="24"/>
        </w:rPr>
        <w:t>(tekst jednolity)</w:t>
      </w:r>
      <w:r w:rsidR="005353C4" w:rsidRPr="004B77D6">
        <w:rPr>
          <w:rFonts w:asciiTheme="minorHAnsi" w:hAnsiTheme="minorHAnsi" w:cstheme="minorHAnsi"/>
          <w:szCs w:val="24"/>
        </w:rPr>
        <w:t xml:space="preserve"> (</w:t>
      </w:r>
      <w:r w:rsidR="005353C4" w:rsidRPr="004B77D6">
        <w:rPr>
          <w:rFonts w:ascii="Calibri" w:hAnsi="Calibri"/>
          <w:szCs w:val="16"/>
        </w:rPr>
        <w:t>Dz.</w:t>
      </w:r>
      <w:r w:rsidR="005353C4">
        <w:rPr>
          <w:rFonts w:ascii="Calibri" w:hAnsi="Calibri"/>
          <w:szCs w:val="16"/>
        </w:rPr>
        <w:t xml:space="preserve"> </w:t>
      </w:r>
      <w:r w:rsidR="005353C4" w:rsidRPr="004B77D6">
        <w:rPr>
          <w:rFonts w:ascii="Calibri" w:hAnsi="Calibri"/>
          <w:szCs w:val="16"/>
        </w:rPr>
        <w:t>U.</w:t>
      </w:r>
      <w:r w:rsidR="005353C4">
        <w:rPr>
          <w:rFonts w:ascii="Calibri" w:hAnsi="Calibri"/>
          <w:szCs w:val="16"/>
        </w:rPr>
        <w:t xml:space="preserve"> UE.</w:t>
      </w:r>
      <w:r w:rsidR="005353C4" w:rsidRPr="004B77D6">
        <w:rPr>
          <w:rFonts w:ascii="Calibri" w:hAnsi="Calibri"/>
          <w:szCs w:val="16"/>
        </w:rPr>
        <w:t xml:space="preserve"> L</w:t>
      </w:r>
      <w:r w:rsidR="005353C4">
        <w:rPr>
          <w:rFonts w:ascii="Calibri" w:hAnsi="Calibri"/>
          <w:szCs w:val="16"/>
        </w:rPr>
        <w:t>.</w:t>
      </w:r>
      <w:r w:rsidR="005353C4" w:rsidRPr="004B77D6">
        <w:rPr>
          <w:rFonts w:ascii="Calibri" w:hAnsi="Calibri"/>
          <w:szCs w:val="16"/>
        </w:rPr>
        <w:t xml:space="preserve"> z 2012</w:t>
      </w:r>
      <w:r w:rsidR="005353C4">
        <w:rPr>
          <w:rFonts w:ascii="Calibri" w:hAnsi="Calibri"/>
          <w:szCs w:val="16"/>
        </w:rPr>
        <w:t xml:space="preserve"> r. Nr 26, </w:t>
      </w:r>
      <w:r w:rsidR="005353C4" w:rsidRPr="004B77D6">
        <w:rPr>
          <w:rFonts w:ascii="Calibri" w:hAnsi="Calibri"/>
          <w:szCs w:val="16"/>
        </w:rPr>
        <w:t>s</w:t>
      </w:r>
      <w:r w:rsidR="005353C4">
        <w:rPr>
          <w:rFonts w:ascii="Calibri" w:hAnsi="Calibri"/>
          <w:szCs w:val="16"/>
        </w:rPr>
        <w:t>tr</w:t>
      </w:r>
      <w:r w:rsidR="005353C4" w:rsidRPr="004B77D6">
        <w:rPr>
          <w:rFonts w:ascii="Calibri" w:hAnsi="Calibri"/>
          <w:szCs w:val="16"/>
        </w:rPr>
        <w:t>. 1</w:t>
      </w:r>
      <w:r w:rsidR="005353C4" w:rsidRPr="004B77D6">
        <w:rPr>
          <w:rFonts w:asciiTheme="minorHAnsi" w:hAnsiTheme="minorHAnsi" w:cstheme="minorHAnsi"/>
          <w:szCs w:val="24"/>
        </w:rPr>
        <w:t>, zmienionej przez dyrektywę 2014/52/UE z dnia 16 kwietnia 2014 r.</w:t>
      </w:r>
      <w:r w:rsidR="005353C4">
        <w:rPr>
          <w:rFonts w:asciiTheme="minorHAnsi" w:hAnsiTheme="minorHAnsi" w:cstheme="minorHAnsi"/>
          <w:szCs w:val="24"/>
        </w:rPr>
        <w:t>)</w:t>
      </w:r>
      <w:r w:rsidRPr="004B77D6">
        <w:rPr>
          <w:rFonts w:asciiTheme="minorHAnsi" w:hAnsiTheme="minorHAnsi" w:cstheme="minorHAnsi"/>
          <w:szCs w:val="24"/>
        </w:rPr>
        <w:t>, wnioskodawcy zobowiązani są dołączyć odpowiednie oświadczenie (oświadczenie zawarte zostało w punkcie II w załączniku nr 2 do wniosku, którego wzór znajduje się w Załączniku nr 5 do Regulaminu).</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065684CF" w14:textId="77777777" w:rsidTr="002743D4">
        <w:tc>
          <w:tcPr>
            <w:tcW w:w="9055" w:type="dxa"/>
          </w:tcPr>
          <w:p w14:paraId="319CC091" w14:textId="77777777" w:rsidR="001D7621" w:rsidRPr="004B77D6" w:rsidRDefault="001D7621" w:rsidP="001D7621">
            <w:pPr>
              <w:autoSpaceDE w:val="0"/>
              <w:autoSpaceDN w:val="0"/>
              <w:adjustRightInd w:val="0"/>
              <w:spacing w:before="120" w:after="120" w:line="276" w:lineRule="auto"/>
              <w:rPr>
                <w:rFonts w:asciiTheme="minorHAnsi" w:hAnsiTheme="minorHAnsi" w:cstheme="minorHAnsi"/>
                <w:szCs w:val="24"/>
              </w:rPr>
            </w:pPr>
            <w:r w:rsidRPr="004B77D6">
              <w:rPr>
                <w:rFonts w:asciiTheme="minorHAnsi" w:hAnsiTheme="minorHAnsi" w:cstheme="minorHAnsi"/>
                <w:b/>
                <w:szCs w:val="24"/>
              </w:rPr>
              <w:t>Uwaga!</w:t>
            </w:r>
          </w:p>
          <w:p w14:paraId="46F37EDB" w14:textId="03843FC5" w:rsidR="001D7621" w:rsidRPr="004B77D6" w:rsidRDefault="001D7621" w:rsidP="001D7621">
            <w:pPr>
              <w:autoSpaceDE w:val="0"/>
              <w:autoSpaceDN w:val="0"/>
              <w:adjustRightInd w:val="0"/>
              <w:spacing w:before="120" w:after="120" w:line="276" w:lineRule="auto"/>
              <w:rPr>
                <w:rFonts w:cstheme="minorHAnsi"/>
                <w:szCs w:val="24"/>
              </w:rPr>
            </w:pPr>
            <w:r w:rsidRPr="004B77D6">
              <w:rPr>
                <w:rFonts w:asciiTheme="minorHAnsi" w:hAnsiTheme="minorHAnsi" w:cstheme="minorHAnsi"/>
                <w:szCs w:val="24"/>
              </w:rPr>
              <w:t>IZ FEO 2021 - 2027 może na każdym etapie procedury zażądać od Wnioskodawcy pełnej dokumentacji o przeprowadzonej ocenie oddziaływania na środowisko.</w:t>
            </w:r>
          </w:p>
        </w:tc>
      </w:tr>
    </w:tbl>
    <w:p w14:paraId="038F2962" w14:textId="77777777" w:rsidR="001D7621" w:rsidRPr="004B77D6" w:rsidRDefault="001D7621" w:rsidP="00361CC4">
      <w:pPr>
        <w:autoSpaceDE w:val="0"/>
        <w:autoSpaceDN w:val="0"/>
        <w:adjustRightInd w:val="0"/>
        <w:spacing w:after="120" w:line="276" w:lineRule="auto"/>
        <w:ind w:firstLine="709"/>
        <w:rPr>
          <w:rFonts w:asciiTheme="minorHAnsi" w:hAnsiTheme="minorHAnsi" w:cstheme="minorHAnsi"/>
          <w:bCs/>
          <w:szCs w:val="24"/>
        </w:rPr>
      </w:pPr>
    </w:p>
    <w:p w14:paraId="0501DB74" w14:textId="77777777" w:rsidR="00361CC4" w:rsidRPr="004B77D6" w:rsidRDefault="00361CC4" w:rsidP="00361CC4">
      <w:pPr>
        <w:autoSpaceDE w:val="0"/>
        <w:autoSpaceDN w:val="0"/>
        <w:adjustRightInd w:val="0"/>
        <w:spacing w:after="120" w:line="276" w:lineRule="auto"/>
        <w:ind w:firstLine="709"/>
        <w:rPr>
          <w:rFonts w:asciiTheme="minorHAnsi" w:hAnsiTheme="minorHAnsi" w:cstheme="minorHAnsi"/>
          <w:bCs/>
          <w:szCs w:val="24"/>
        </w:rPr>
      </w:pPr>
      <w:r w:rsidRPr="004B77D6">
        <w:rPr>
          <w:rFonts w:asciiTheme="minorHAnsi" w:hAnsiTheme="minorHAnsi" w:cstheme="minorHAnsi"/>
          <w:bCs/>
          <w:szCs w:val="24"/>
        </w:rPr>
        <w:t>W razie wątpliwości Wnioskodawcy, co do klasyfikacji przedsięwzięcia dopuszcza się załączenie postanowienia organu o braku przesłanek do przeprowadzenia postępowania w przedmiocie wydania decyzji o środowiskowych uwarunkowaniach.</w:t>
      </w:r>
    </w:p>
    <w:p w14:paraId="334C9302" w14:textId="74D5BC09" w:rsidR="00361CC4" w:rsidRPr="004B77D6" w:rsidRDefault="00361CC4" w:rsidP="00361CC4">
      <w:pPr>
        <w:spacing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projektów </w:t>
      </w:r>
      <w:r w:rsidR="004F5888">
        <w:rPr>
          <w:rFonts w:asciiTheme="minorHAnsi" w:hAnsiTheme="minorHAnsi" w:cstheme="minorHAnsi"/>
          <w:szCs w:val="24"/>
        </w:rPr>
        <w:t xml:space="preserve">realizowanych w formule zaprojektuj i wybuduj tj. na podstawie </w:t>
      </w:r>
      <w:r w:rsidR="004F5888" w:rsidRPr="0089006E">
        <w:rPr>
          <w:rFonts w:asciiTheme="minorHAnsi" w:hAnsiTheme="minorHAnsi" w:cstheme="minorHAnsi"/>
          <w:szCs w:val="24"/>
        </w:rPr>
        <w:t>program</w:t>
      </w:r>
      <w:r w:rsidR="004F5888">
        <w:rPr>
          <w:rFonts w:asciiTheme="minorHAnsi" w:hAnsiTheme="minorHAnsi" w:cstheme="minorHAnsi"/>
          <w:szCs w:val="24"/>
        </w:rPr>
        <w:t>u</w:t>
      </w:r>
      <w:r w:rsidR="004F5888" w:rsidRPr="0089006E">
        <w:rPr>
          <w:rFonts w:asciiTheme="minorHAnsi" w:hAnsiTheme="minorHAnsi" w:cstheme="minorHAnsi"/>
          <w:szCs w:val="24"/>
        </w:rPr>
        <w:t xml:space="preserve"> funkcjonalno-użytkow</w:t>
      </w:r>
      <w:r w:rsidR="004F5888">
        <w:rPr>
          <w:rFonts w:asciiTheme="minorHAnsi" w:hAnsiTheme="minorHAnsi" w:cstheme="minorHAnsi"/>
          <w:szCs w:val="24"/>
        </w:rPr>
        <w:t>ego</w:t>
      </w:r>
      <w:r w:rsidRPr="004B77D6">
        <w:rPr>
          <w:rFonts w:asciiTheme="minorHAnsi" w:hAnsiTheme="minorHAnsi" w:cstheme="minorHAnsi"/>
          <w:szCs w:val="24"/>
        </w:rPr>
        <w:t>, proces oceny dokumentacji z przeprowadzonej procedury oceny oddziaływania na środowisko przebiega dwustopniowo:</w:t>
      </w:r>
    </w:p>
    <w:p w14:paraId="1BB09177" w14:textId="1843996C" w:rsidR="00361CC4" w:rsidRPr="004B77D6" w:rsidRDefault="00361CC4" w:rsidP="0089006E">
      <w:pPr>
        <w:pStyle w:val="Akapitzlist"/>
        <w:numPr>
          <w:ilvl w:val="0"/>
          <w:numId w:val="58"/>
        </w:numPr>
        <w:rPr>
          <w:rFonts w:asciiTheme="minorHAnsi" w:hAnsiTheme="minorHAnsi" w:cstheme="minorHAnsi"/>
          <w:sz w:val="24"/>
          <w:szCs w:val="24"/>
        </w:rPr>
      </w:pPr>
      <w:r w:rsidRPr="004B77D6">
        <w:rPr>
          <w:rFonts w:asciiTheme="minorHAnsi" w:hAnsiTheme="minorHAnsi" w:cstheme="minorHAnsi"/>
          <w:sz w:val="24"/>
          <w:szCs w:val="24"/>
        </w:rPr>
        <w:t>Pierwszy etap obejmuje ocenę procedury oddziaływania na środowisko przeprowadzonej na etapie tworzenia koncepcji określonego przedsięwzięcia – Wnioskodawca w momencie składania wniosku o dofinansowanie zobowiązany jest dostarczyć dokumentację środowiskową dla planowanego przedsięwzięcia.</w:t>
      </w:r>
    </w:p>
    <w:p w14:paraId="5FC93E9F" w14:textId="1E26461D" w:rsidR="00361CC4" w:rsidRPr="004B77D6" w:rsidRDefault="00361CC4" w:rsidP="0089006E">
      <w:pPr>
        <w:pStyle w:val="Akapitzlist"/>
        <w:numPr>
          <w:ilvl w:val="0"/>
          <w:numId w:val="58"/>
        </w:numPr>
        <w:spacing w:after="120"/>
        <w:rPr>
          <w:sz w:val="24"/>
          <w:szCs w:val="24"/>
        </w:rPr>
      </w:pPr>
      <w:r w:rsidRPr="004B77D6">
        <w:rPr>
          <w:rFonts w:asciiTheme="minorHAnsi" w:hAnsiTheme="minorHAnsi" w:cstheme="minorHAnsi"/>
          <w:sz w:val="24"/>
          <w:szCs w:val="24"/>
        </w:rPr>
        <w:t>Drugi etap polega na stwierdzeniu zgodności dostarczonego przez Wnioskodawcę pozwolenia na budowę i projektu budowlanego z przedłożoną wcześniej dokumentacją projektową (w tym z programem funkcjonalno-użytkowym). W</w:t>
      </w:r>
      <w:r w:rsidR="004F6B06">
        <w:rPr>
          <w:rFonts w:asciiTheme="minorHAnsi" w:hAnsiTheme="minorHAnsi" w:cstheme="minorHAnsi"/>
          <w:sz w:val="24"/>
          <w:szCs w:val="24"/>
          <w:lang w:val="pl-PL"/>
        </w:rPr>
        <w:t> </w:t>
      </w:r>
      <w:r w:rsidRPr="004B77D6">
        <w:rPr>
          <w:rFonts w:asciiTheme="minorHAnsi" w:hAnsiTheme="minorHAnsi" w:cstheme="minorHAnsi"/>
          <w:sz w:val="24"/>
          <w:szCs w:val="24"/>
        </w:rPr>
        <w:t>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wystąpieniem o pozwolenie na budowę. Dokumentację</w:t>
      </w:r>
      <w:r w:rsidR="001D7621" w:rsidRPr="004B77D6">
        <w:rPr>
          <w:rFonts w:asciiTheme="minorHAnsi" w:hAnsiTheme="minorHAnsi" w:cstheme="minorHAnsi"/>
          <w:sz w:val="24"/>
          <w:szCs w:val="24"/>
          <w:lang w:val="pl-PL"/>
        </w:rPr>
        <w:t xml:space="preserve"> </w:t>
      </w:r>
      <w:r w:rsidRPr="004B77D6">
        <w:rPr>
          <w:rFonts w:asciiTheme="minorHAnsi" w:hAnsiTheme="minorHAnsi" w:cstheme="minorHAnsi"/>
          <w:sz w:val="24"/>
          <w:szCs w:val="24"/>
        </w:rPr>
        <w:t>z ponownie przeprowadzonej procedury OOŚ wraz z pozwoleniem na budowę oraz projektem budowlanym należy przedłożyć do IZ FEO 2021-2027.</w:t>
      </w:r>
      <w:r w:rsidRPr="004B77D6">
        <w:rPr>
          <w:sz w:val="24"/>
          <w:szCs w:val="24"/>
        </w:rPr>
        <w:t xml:space="preserve"> </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DA5336" w:rsidRPr="004B77D6" w14:paraId="0B78F2F6" w14:textId="77777777" w:rsidTr="002743D4">
        <w:tc>
          <w:tcPr>
            <w:tcW w:w="9055" w:type="dxa"/>
          </w:tcPr>
          <w:p w14:paraId="403D6934" w14:textId="77777777" w:rsidR="00DA5336" w:rsidRPr="004B77D6" w:rsidRDefault="00DA5336" w:rsidP="00DA5336">
            <w:pPr>
              <w:autoSpaceDE w:val="0"/>
              <w:autoSpaceDN w:val="0"/>
              <w:adjustRightInd w:val="0"/>
              <w:spacing w:before="120" w:after="120" w:line="276" w:lineRule="auto"/>
              <w:rPr>
                <w:rFonts w:asciiTheme="minorHAnsi" w:hAnsiTheme="minorHAnsi" w:cstheme="minorHAnsi"/>
                <w:b/>
                <w:szCs w:val="24"/>
              </w:rPr>
            </w:pPr>
            <w:bookmarkStart w:id="112" w:name="_Hlk129940955"/>
            <w:r w:rsidRPr="004B77D6">
              <w:rPr>
                <w:rFonts w:asciiTheme="minorHAnsi" w:hAnsiTheme="minorHAnsi" w:cstheme="minorHAnsi"/>
                <w:b/>
                <w:szCs w:val="24"/>
              </w:rPr>
              <w:t>Uwaga!</w:t>
            </w:r>
          </w:p>
          <w:p w14:paraId="4187A2AF" w14:textId="34DFA639" w:rsidR="00DA5336" w:rsidRPr="004B77D6" w:rsidRDefault="00DA5336" w:rsidP="00DA5336">
            <w:pPr>
              <w:autoSpaceDE w:val="0"/>
              <w:autoSpaceDN w:val="0"/>
              <w:adjustRightInd w:val="0"/>
              <w:spacing w:before="120" w:after="120" w:line="276" w:lineRule="auto"/>
              <w:rPr>
                <w:rFonts w:cstheme="minorHAnsi"/>
                <w:szCs w:val="24"/>
              </w:rPr>
            </w:pPr>
            <w:r w:rsidRPr="004B77D6">
              <w:rPr>
                <w:rFonts w:asciiTheme="minorHAnsi" w:hAnsiTheme="minorHAnsi" w:cstheme="minorHAnsi"/>
                <w:szCs w:val="24"/>
              </w:rPr>
              <w:t xml:space="preserve">W przypadku projektów </w:t>
            </w:r>
            <w:r w:rsidR="004F5888">
              <w:rPr>
                <w:rFonts w:asciiTheme="minorHAnsi" w:hAnsiTheme="minorHAnsi" w:cstheme="minorHAnsi"/>
                <w:szCs w:val="24"/>
              </w:rPr>
              <w:t xml:space="preserve">realizowanych w formule zaprojektuj i wybuduj tj. na podstawie </w:t>
            </w:r>
            <w:r w:rsidR="004F5888" w:rsidRPr="0089006E">
              <w:rPr>
                <w:rFonts w:asciiTheme="minorHAnsi" w:hAnsiTheme="minorHAnsi" w:cstheme="minorHAnsi"/>
                <w:szCs w:val="24"/>
              </w:rPr>
              <w:t>program</w:t>
            </w:r>
            <w:r w:rsidR="004F5888">
              <w:rPr>
                <w:rFonts w:asciiTheme="minorHAnsi" w:hAnsiTheme="minorHAnsi" w:cstheme="minorHAnsi"/>
                <w:szCs w:val="24"/>
              </w:rPr>
              <w:t>u</w:t>
            </w:r>
            <w:r w:rsidR="004F5888" w:rsidRPr="0089006E">
              <w:rPr>
                <w:rFonts w:asciiTheme="minorHAnsi" w:hAnsiTheme="minorHAnsi" w:cstheme="minorHAnsi"/>
                <w:szCs w:val="24"/>
              </w:rPr>
              <w:t xml:space="preserve"> funkcjonalno-użytkow</w:t>
            </w:r>
            <w:r w:rsidR="004F5888">
              <w:rPr>
                <w:rFonts w:asciiTheme="minorHAnsi" w:hAnsiTheme="minorHAnsi" w:cstheme="minorHAnsi"/>
                <w:szCs w:val="24"/>
              </w:rPr>
              <w:t>ego</w:t>
            </w:r>
            <w:r w:rsidRPr="004B77D6">
              <w:rPr>
                <w:rFonts w:asciiTheme="minorHAnsi" w:hAnsiTheme="minorHAnsi" w:cstheme="minorHAnsi"/>
                <w:szCs w:val="24"/>
              </w:rPr>
              <w:t xml:space="preserve">, które zostaną wybrane do dofinansowania, </w:t>
            </w:r>
            <w:r w:rsidRPr="004B77D6">
              <w:rPr>
                <w:rFonts w:asciiTheme="minorHAnsi" w:hAnsiTheme="minorHAnsi" w:cstheme="minorHAnsi"/>
                <w:szCs w:val="24"/>
              </w:rPr>
              <w:lastRenderedPageBreak/>
              <w:t>natomiast dostarczona dokumentacja z postępowania OOŚ wskaże znacząco negatywne oddziaływanie projektu na środowisko, projekt nie będzie mógł być zrealizowany ze środków FEO 2021 – 2027.</w:t>
            </w:r>
          </w:p>
        </w:tc>
      </w:tr>
      <w:bookmarkEnd w:id="112"/>
    </w:tbl>
    <w:p w14:paraId="1C184603" w14:textId="77777777" w:rsidR="00DA5336" w:rsidRPr="004B77D6" w:rsidRDefault="00DA5336" w:rsidP="00361CC4">
      <w:pPr>
        <w:spacing w:after="120" w:line="276" w:lineRule="auto"/>
        <w:rPr>
          <w:rFonts w:asciiTheme="minorHAnsi" w:hAnsiTheme="minorHAnsi" w:cstheme="minorHAnsi"/>
          <w:b/>
          <w:szCs w:val="24"/>
        </w:rPr>
      </w:pPr>
    </w:p>
    <w:p w14:paraId="4B5EB5D2" w14:textId="77777777" w:rsidR="00764854" w:rsidRPr="004B77D6" w:rsidRDefault="00764854" w:rsidP="0071603D">
      <w:pPr>
        <w:spacing w:after="120" w:line="276" w:lineRule="auto"/>
        <w:rPr>
          <w:rFonts w:asciiTheme="minorHAnsi" w:hAnsiTheme="minorHAnsi" w:cstheme="minorHAnsi"/>
          <w:b/>
          <w:u w:val="single"/>
        </w:rPr>
      </w:pPr>
      <w:r w:rsidRPr="004B77D6">
        <w:rPr>
          <w:rFonts w:asciiTheme="minorHAnsi" w:hAnsiTheme="minorHAnsi" w:cstheme="minorHAnsi"/>
          <w:b/>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0"/>
      </w:tblGrid>
      <w:tr w:rsidR="001D7621" w:rsidRPr="004B77D6" w14:paraId="52EC8CF1" w14:textId="77777777" w:rsidTr="00D55514">
        <w:tc>
          <w:tcPr>
            <w:tcW w:w="9060" w:type="dxa"/>
          </w:tcPr>
          <w:p w14:paraId="5E2E9A90" w14:textId="77777777" w:rsidR="001D7621" w:rsidRPr="004B77D6" w:rsidRDefault="001D7621" w:rsidP="002743D4">
            <w:pPr>
              <w:spacing w:after="120" w:line="276" w:lineRule="auto"/>
              <w:ind w:left="-108"/>
              <w:rPr>
                <w:rFonts w:asciiTheme="minorHAnsi" w:hAnsiTheme="minorHAnsi" w:cstheme="minorHAnsi"/>
                <w:b/>
                <w:bCs/>
                <w:szCs w:val="24"/>
              </w:rPr>
            </w:pPr>
            <w:r w:rsidRPr="004B77D6">
              <w:rPr>
                <w:rFonts w:asciiTheme="minorHAnsi" w:hAnsiTheme="minorHAnsi" w:cstheme="minorHAnsi"/>
                <w:b/>
                <w:bCs/>
                <w:szCs w:val="24"/>
              </w:rPr>
              <w:t>Uwaga!</w:t>
            </w:r>
          </w:p>
          <w:p w14:paraId="3CEC5E5B" w14:textId="77777777" w:rsidR="001D7621" w:rsidRPr="004B77D6" w:rsidRDefault="001D7621" w:rsidP="002743D4">
            <w:pPr>
              <w:spacing w:after="120" w:line="276" w:lineRule="auto"/>
              <w:ind w:left="-108"/>
              <w:rPr>
                <w:rFonts w:asciiTheme="minorHAnsi" w:hAnsiTheme="minorHAnsi" w:cstheme="minorHAnsi"/>
                <w:szCs w:val="24"/>
              </w:rPr>
            </w:pPr>
            <w:r w:rsidRPr="004B77D6">
              <w:rPr>
                <w:rFonts w:asciiTheme="minorHAnsi" w:hAnsiTheme="minorHAnsi" w:cstheme="minorHAnsi"/>
                <w:szCs w:val="24"/>
              </w:rPr>
              <w:t>Wzór Formularza w zakresie wpływu projektu na środowisko został zamieszczony we wzorze załącznika nr 2 do wniosku, w  załączniku nr 5 do Regulaminu.</w:t>
            </w:r>
          </w:p>
        </w:tc>
      </w:tr>
    </w:tbl>
    <w:p w14:paraId="57E7E91E" w14:textId="77777777" w:rsidR="001D7621" w:rsidRPr="004B77D6" w:rsidRDefault="001D7621" w:rsidP="00D5551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gdy dany projekt składa się z więcej niż jednego przedsięwzięcia, </w:t>
      </w:r>
      <w:r w:rsidRPr="004B77D6">
        <w:rPr>
          <w:rFonts w:asciiTheme="minorHAnsi" w:hAnsiTheme="minorHAnsi" w:cstheme="minorHAnsi"/>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13670E98" w14:textId="41154C86" w:rsidR="004B77D6" w:rsidRPr="004B77D6" w:rsidRDefault="001D7621" w:rsidP="00C94172">
      <w:pPr>
        <w:spacing w:after="120" w:line="276" w:lineRule="auto"/>
        <w:ind w:firstLine="709"/>
        <w:rPr>
          <w:rFonts w:asciiTheme="minorHAnsi" w:hAnsiTheme="minorHAnsi" w:cstheme="minorHAnsi"/>
          <w:szCs w:val="24"/>
        </w:rPr>
      </w:pPr>
      <w:r w:rsidRPr="004B77D6">
        <w:rPr>
          <w:rFonts w:asciiTheme="minorHAnsi" w:hAnsiTheme="minorHAnsi" w:cstheme="minorHAnsi"/>
          <w:szCs w:val="24"/>
        </w:rPr>
        <w:t>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w:t>
      </w:r>
      <w:proofErr w:type="spellStart"/>
      <w:r w:rsidRPr="004B77D6">
        <w:rPr>
          <w:rFonts w:asciiTheme="minorHAnsi" w:hAnsiTheme="minorHAnsi" w:cstheme="minorHAnsi"/>
          <w:szCs w:val="24"/>
        </w:rPr>
        <w:t>t</w:t>
      </w:r>
      <w:r w:rsidR="00E03808">
        <w:rPr>
          <w:rFonts w:asciiTheme="minorHAnsi" w:hAnsiTheme="minorHAnsi" w:cstheme="minorHAnsi"/>
          <w:szCs w:val="24"/>
        </w:rPr>
        <w:t>.</w:t>
      </w:r>
      <w:r w:rsidRPr="004B77D6">
        <w:rPr>
          <w:rFonts w:asciiTheme="minorHAnsi" w:hAnsiTheme="minorHAnsi" w:cstheme="minorHAnsi"/>
          <w:szCs w:val="24"/>
        </w:rPr>
        <w:t>j</w:t>
      </w:r>
      <w:proofErr w:type="spellEnd"/>
      <w:r w:rsidRPr="004B77D6">
        <w:rPr>
          <w:rFonts w:asciiTheme="minorHAnsi" w:hAnsiTheme="minorHAnsi" w:cstheme="minorHAnsi"/>
          <w:szCs w:val="24"/>
        </w:rPr>
        <w:t>. Dz. U. z 20</w:t>
      </w:r>
      <w:r w:rsidR="00E03808">
        <w:rPr>
          <w:rFonts w:asciiTheme="minorHAnsi" w:hAnsiTheme="minorHAnsi" w:cstheme="minorHAnsi"/>
          <w:szCs w:val="24"/>
        </w:rPr>
        <w:t>23</w:t>
      </w:r>
      <w:r w:rsidRPr="004B77D6">
        <w:rPr>
          <w:rFonts w:asciiTheme="minorHAnsi" w:hAnsiTheme="minorHAnsi" w:cstheme="minorHAnsi"/>
          <w:szCs w:val="24"/>
        </w:rPr>
        <w:t xml:space="preserve"> r.</w:t>
      </w:r>
      <w:r w:rsidR="00E03808">
        <w:rPr>
          <w:rFonts w:asciiTheme="minorHAnsi" w:hAnsiTheme="minorHAnsi" w:cstheme="minorHAnsi"/>
          <w:szCs w:val="24"/>
        </w:rPr>
        <w:t>,</w:t>
      </w:r>
      <w:r w:rsidRPr="004B77D6">
        <w:rPr>
          <w:rFonts w:asciiTheme="minorHAnsi" w:hAnsiTheme="minorHAnsi" w:cstheme="minorHAnsi"/>
          <w:szCs w:val="24"/>
        </w:rPr>
        <w:t xml:space="preserve"> poz. 10</w:t>
      </w:r>
      <w:r w:rsidR="00E03808">
        <w:rPr>
          <w:rFonts w:asciiTheme="minorHAnsi" w:hAnsiTheme="minorHAnsi" w:cstheme="minorHAnsi"/>
          <w:szCs w:val="24"/>
        </w:rPr>
        <w:t>94</w:t>
      </w:r>
      <w:r w:rsidRPr="004B77D6">
        <w:rPr>
          <w:rFonts w:asciiTheme="minorHAnsi" w:hAnsiTheme="minorHAnsi" w:cstheme="minorHAnsi"/>
          <w:szCs w:val="24"/>
        </w:rPr>
        <w:t xml:space="preserve"> z </w:t>
      </w:r>
      <w:proofErr w:type="spellStart"/>
      <w:r w:rsidRPr="004B77D6">
        <w:rPr>
          <w:rFonts w:asciiTheme="minorHAnsi" w:hAnsiTheme="minorHAnsi" w:cstheme="minorHAnsi"/>
          <w:szCs w:val="24"/>
        </w:rPr>
        <w:t>późn</w:t>
      </w:r>
      <w:proofErr w:type="spellEnd"/>
      <w:r w:rsidRPr="004B77D6">
        <w:rPr>
          <w:rFonts w:asciiTheme="minorHAnsi" w:hAnsiTheme="minorHAnsi" w:cstheme="minorHAnsi"/>
          <w:szCs w:val="24"/>
        </w:rPr>
        <w:t>. zm.), dalej jako „ustawa OOŚ”. Zasada „nieczynienia znaczącej szkody” oznacza niewspieranie ani nieprowadzenie działalności gospodarczej, która czyni znaczące szkody dla któregokolwiek z celów środowiskowych, w stosownych przypadkach, w rozumieniu art. 17 rozporządzenia (UE) 2020/852.</w:t>
      </w:r>
    </w:p>
    <w:p w14:paraId="194A4EAF" w14:textId="77777777" w:rsidR="001D7621" w:rsidRDefault="001D7621" w:rsidP="001D7621">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 celu właściwego wypełnienia formularza należy stosować poniższe wskazówki: </w:t>
      </w:r>
    </w:p>
    <w:p w14:paraId="23A14A25" w14:textId="77777777" w:rsidR="004F6B06" w:rsidRPr="004B77D6" w:rsidRDefault="004F6B06" w:rsidP="001D7621">
      <w:pPr>
        <w:spacing w:after="120" w:line="276" w:lineRule="auto"/>
        <w:rPr>
          <w:rFonts w:asciiTheme="minorHAnsi" w:hAnsiTheme="minorHAnsi" w:cstheme="minorHAnsi"/>
          <w:szCs w:val="24"/>
        </w:rPr>
      </w:pPr>
    </w:p>
    <w:p w14:paraId="52B9576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lastRenderedPageBreak/>
        <w:t xml:space="preserve">Punkt A.1.1. </w:t>
      </w:r>
    </w:p>
    <w:p w14:paraId="2B5BF838" w14:textId="23F9AF05"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W punkcie A.1.1. w szczególności należy odnieść się do 6 celów środowiskowych art. 9 z rozporządzenia Parlamentu Europejskiego i Rady (UE) 2020/852 z dnia 18 czer</w:t>
      </w:r>
      <w:r w:rsidR="00C000CC" w:rsidRPr="004B77D6">
        <w:rPr>
          <w:rFonts w:asciiTheme="minorHAnsi" w:hAnsiTheme="minorHAnsi" w:cstheme="minorHAnsi"/>
          <w:szCs w:val="24"/>
        </w:rPr>
        <w:t>wca 2020 r. w </w:t>
      </w:r>
      <w:r w:rsidRPr="004B77D6">
        <w:rPr>
          <w:rFonts w:asciiTheme="minorHAnsi" w:hAnsiTheme="minorHAnsi" w:cstheme="minorHAnsi"/>
          <w:szCs w:val="24"/>
        </w:rPr>
        <w:t>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024E4D5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A.2. </w:t>
      </w:r>
    </w:p>
    <w:p w14:paraId="10F9EA02"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4B77D6">
        <w:rPr>
          <w:rFonts w:asciiTheme="minorHAnsi" w:hAnsiTheme="minorHAnsi" w:cstheme="minorHAnsi"/>
          <w:szCs w:val="24"/>
        </w:rPr>
        <w:t>FEnIKS</w:t>
      </w:r>
      <w:proofErr w:type="spellEnd"/>
      <w:r w:rsidRPr="004B77D6">
        <w:rPr>
          <w:rFonts w:asciiTheme="minorHAnsi" w:hAnsiTheme="minorHAnsi" w:cstheme="minorHAnsi"/>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5E931BA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A.3.1. </w:t>
      </w:r>
    </w:p>
    <w:p w14:paraId="4C99C19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dokonać klasyfikacji danego przedsięwzięcia w ramach rodzajów przedsięwzięć wskazanych w załącznikach do dyrektywy OOŚ. Zwraca się uwagę na poprawność dokonanej kwalifikacji według załączników dyrektywy OOŚ.</w:t>
      </w:r>
    </w:p>
    <w:p w14:paraId="41A4C6D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A.3.2. </w:t>
      </w:r>
    </w:p>
    <w:p w14:paraId="696C67FD"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Wskazane dokumenty do załączenia: </w:t>
      </w:r>
    </w:p>
    <w:p w14:paraId="7EDE3EDB" w14:textId="63767B02" w:rsidR="001D7621" w:rsidRPr="004B77D6" w:rsidRDefault="001D7621" w:rsidP="0089006E">
      <w:pPr>
        <w:pStyle w:val="Akapitzlist"/>
        <w:numPr>
          <w:ilvl w:val="0"/>
          <w:numId w:val="59"/>
        </w:numPr>
        <w:autoSpaceDE w:val="0"/>
        <w:autoSpaceDN w:val="0"/>
        <w:adjustRightInd w:val="0"/>
        <w:spacing w:after="120"/>
        <w:rPr>
          <w:rFonts w:asciiTheme="minorHAnsi" w:hAnsiTheme="minorHAnsi" w:cstheme="minorHAnsi"/>
          <w:bCs/>
          <w:sz w:val="24"/>
          <w:szCs w:val="24"/>
        </w:rPr>
      </w:pPr>
      <w:r w:rsidRPr="004B77D6">
        <w:rPr>
          <w:rFonts w:asciiTheme="minorHAnsi" w:hAnsiTheme="minorHAnsi" w:cstheme="minorHAnsi"/>
          <w:bCs/>
          <w:sz w:val="24"/>
          <w:szCs w:val="24"/>
        </w:rPr>
        <w:t>streszczenie w języku niespecjalistycznym raportu OOŚ, o którym mowa w art. 66 ust. 1 pkt 18 ustawy OOŚ (zastrzeżeniem przyp. 62). W</w:t>
      </w:r>
      <w:r w:rsidRPr="004B77D6">
        <w:rPr>
          <w:rFonts w:asciiTheme="minorHAnsi" w:hAnsiTheme="minorHAnsi" w:cstheme="minorHAnsi"/>
          <w:b/>
          <w:bCs/>
          <w:sz w:val="24"/>
          <w:szCs w:val="24"/>
        </w:rPr>
        <w:t xml:space="preserve"> </w:t>
      </w:r>
      <w:r w:rsidRPr="004B77D6">
        <w:rPr>
          <w:rFonts w:asciiTheme="minorHAnsi" w:hAnsiTheme="minorHAnsi" w:cstheme="minorHAnsi"/>
          <w:bCs/>
          <w:sz w:val="24"/>
          <w:szCs w:val="24"/>
        </w:rPr>
        <w:t xml:space="preserve">przypadku, gdy w raporcie była przeprowadzona ocena zgodnie z art. 6. ust. 3 Dyrektywy Siedliskowej należy załączyć rozdziały raportu związane z oceną wskazaną w art. 6. ust. 3 Dyrektywy Siedliskowej lub pełną wersję raportu OOŚ. </w:t>
      </w:r>
    </w:p>
    <w:p w14:paraId="2F1E519E" w14:textId="5359F64F" w:rsidR="001D7621" w:rsidRPr="004B77D6" w:rsidRDefault="001D7621" w:rsidP="0089006E">
      <w:pPr>
        <w:pStyle w:val="Akapitzlist"/>
        <w:numPr>
          <w:ilvl w:val="0"/>
          <w:numId w:val="59"/>
        </w:numPr>
        <w:autoSpaceDE w:val="0"/>
        <w:autoSpaceDN w:val="0"/>
        <w:adjustRightInd w:val="0"/>
        <w:spacing w:after="120"/>
        <w:rPr>
          <w:rFonts w:asciiTheme="minorHAnsi" w:hAnsiTheme="minorHAnsi" w:cstheme="minorHAnsi"/>
          <w:bCs/>
          <w:sz w:val="24"/>
          <w:szCs w:val="24"/>
        </w:rPr>
      </w:pPr>
      <w:r w:rsidRPr="004B77D6">
        <w:rPr>
          <w:rFonts w:asciiTheme="minorHAnsi" w:hAnsiTheme="minorHAnsi" w:cstheme="minorHAnsi"/>
          <w:bCs/>
          <w:sz w:val="24"/>
          <w:szCs w:val="24"/>
        </w:rPr>
        <w:t xml:space="preserve">zasadniczo wystarczającym źródłem powyższych informacji powinno być uzasadnienie do decyzji o środowiskowych uwarunkowaniach i wystarczające jest jej wskazanie (w </w:t>
      </w:r>
      <w:r w:rsidRPr="004B77D6">
        <w:rPr>
          <w:rFonts w:asciiTheme="minorHAnsi" w:hAnsiTheme="minorHAnsi" w:cstheme="minorHAnsi"/>
          <w:bCs/>
          <w:sz w:val="24"/>
          <w:szCs w:val="24"/>
        </w:rPr>
        <w:lastRenderedPageBreak/>
        <w:t xml:space="preserve">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 </w:t>
      </w:r>
    </w:p>
    <w:p w14:paraId="392DF03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 przypadku konsultacji z organami ds. ochrony środowiska, postępowania </w:t>
      </w:r>
      <w:proofErr w:type="spellStart"/>
      <w:r w:rsidRPr="004B77D6">
        <w:rPr>
          <w:rFonts w:asciiTheme="minorHAnsi" w:hAnsiTheme="minorHAnsi" w:cstheme="minorHAnsi"/>
          <w:bCs/>
          <w:szCs w:val="24"/>
        </w:rPr>
        <w:t>ws</w:t>
      </w:r>
      <w:proofErr w:type="spellEnd"/>
      <w:r w:rsidRPr="004B77D6">
        <w:rPr>
          <w:rFonts w:asciiTheme="minorHAnsi" w:hAnsiTheme="minorHAnsi" w:cstheme="minorHAnsi"/>
          <w:bCs/>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326460D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A.3.3. </w:t>
      </w:r>
    </w:p>
    <w:p w14:paraId="4FE303AC"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 </w:t>
      </w:r>
    </w:p>
    <w:p w14:paraId="5310BDD7"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zostało przeprowadzone – należy zaznaczyć kwadrat TAK oraz dołączyć stosowne dokumenty wskazane w punkcie A.3.2; </w:t>
      </w:r>
    </w:p>
    <w:p w14:paraId="444FD193"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nie zostało przeprowadzone – należy zaznaczyć kwadrat NIE, podać wyjaśnienie oraz dołączyć stosowne dokumenty, wymagana jest również informacja, co do sposobu powiadomienia społeczeństwa o podjętej decyzji.</w:t>
      </w:r>
    </w:p>
    <w:p w14:paraId="4527C088"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przez „decyzję dotyczącą preselekcji” lub „decyzję „</w:t>
      </w:r>
      <w:proofErr w:type="spellStart"/>
      <w:r w:rsidRPr="004B77D6">
        <w:rPr>
          <w:rFonts w:asciiTheme="minorHAnsi" w:eastAsia="Calibri" w:hAnsiTheme="minorHAnsi" w:cstheme="minorHAnsi"/>
          <w:szCs w:val="24"/>
          <w:lang w:eastAsia="en-US"/>
        </w:rPr>
        <w:t>screeningową</w:t>
      </w:r>
      <w:proofErr w:type="spellEnd"/>
      <w:r w:rsidRPr="004B77D6">
        <w:rPr>
          <w:rFonts w:asciiTheme="minorHAnsi" w:eastAsia="Calibri" w:hAnsiTheme="minorHAnsi" w:cstheme="minorHAnsi"/>
          <w:szCs w:val="24"/>
          <w:lang w:eastAsia="en-US"/>
        </w:rPr>
        <w:t xml:space="preserve">” należy rozumieć postanowienie o braku konieczności przeprowadzenia oceny oddziaływania na środowisko. </w:t>
      </w:r>
    </w:p>
    <w:p w14:paraId="2111E9DD"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4B77D6">
        <w:rPr>
          <w:rFonts w:asciiTheme="minorHAnsi" w:eastAsia="Calibri" w:hAnsiTheme="minorHAnsi" w:cstheme="minorHAnsi"/>
          <w:szCs w:val="24"/>
          <w:lang w:eastAsia="en-US"/>
        </w:rPr>
        <w:t xml:space="preserve">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w:t>
      </w:r>
      <w:r w:rsidRPr="004B77D6">
        <w:rPr>
          <w:rFonts w:asciiTheme="minorHAnsi" w:eastAsia="Calibri" w:hAnsiTheme="minorHAnsi" w:cstheme="minorHAnsi"/>
          <w:szCs w:val="24"/>
          <w:lang w:eastAsia="en-US"/>
        </w:rPr>
        <w:lastRenderedPageBreak/>
        <w:t>odmawiających przeprowadzenia oceny oddziaływania na środowisko, zgodnie z art. 63 ustawy OOŚ.</w:t>
      </w:r>
    </w:p>
    <w:p w14:paraId="47458F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A.3.4. </w:t>
      </w:r>
    </w:p>
    <w:p w14:paraId="52A15DB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14:paraId="1394ACCB"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49B5988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Wobec powyższego ilekroć w formularzu </w:t>
      </w:r>
      <w:proofErr w:type="spellStart"/>
      <w:r w:rsidRPr="004B77D6">
        <w:rPr>
          <w:rFonts w:asciiTheme="minorHAnsi" w:hAnsiTheme="minorHAnsi" w:cstheme="minorHAnsi"/>
          <w:bCs/>
          <w:szCs w:val="24"/>
        </w:rPr>
        <w:t>ooś</w:t>
      </w:r>
      <w:proofErr w:type="spellEnd"/>
      <w:r w:rsidRPr="004B77D6">
        <w:rPr>
          <w:rFonts w:asciiTheme="minorHAnsi" w:hAnsiTheme="minorHAnsi" w:cstheme="minorHAnsi"/>
          <w:bCs/>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56A93009"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A.3.4.1. i Punkt A.3.4.2.</w:t>
      </w:r>
    </w:p>
    <w:p w14:paraId="33A49D9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 punkcie A.3.4.1 oraz A.3.4.2 oczekuje się informacji potwierdzającej, że w przypadku rozpoczęcia robót budowlanych poprzedzone one zostały stosowną procedurą zezwolenia na inwestycję. </w:t>
      </w:r>
    </w:p>
    <w:p w14:paraId="4D3D846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
          <w:bCs/>
          <w:szCs w:val="24"/>
        </w:rPr>
        <w:t>Uwaga:</w:t>
      </w:r>
      <w:r w:rsidRPr="004B77D6">
        <w:rPr>
          <w:rFonts w:asciiTheme="minorHAnsi" w:hAnsiTheme="minorHAnsi" w:cstheme="minorHAnsi"/>
          <w:bCs/>
          <w:szCs w:val="24"/>
        </w:rPr>
        <w:t xml:space="preserve"> W punkcie A.3.4.1 poprzez „co najmniej jedno zamówienie na roboty budowlane” rozumie się podpisaną umowę na roboty budowlane, w ramach której rozpoczęto realizację robót budowlanych. </w:t>
      </w:r>
    </w:p>
    <w:p w14:paraId="4C0DADF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W przypadku zgłoszenia robót budowlanych, formularz wypełnia się analogicznie.</w:t>
      </w:r>
    </w:p>
    <w:p w14:paraId="43D71C2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A.3.4.3.</w:t>
      </w:r>
    </w:p>
    <w:p w14:paraId="2E5F7B4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20082ED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lastRenderedPageBreak/>
        <w:t>Punkt A.3.4.4.</w:t>
      </w:r>
    </w:p>
    <w:p w14:paraId="74FA2A8C"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podać daty wniosków oraz wskazać organy, do których złożono wnioski o zezwolenie na inwestycję/decyzji budowlanej.</w:t>
      </w:r>
    </w:p>
    <w:p w14:paraId="3C3F366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A.3.4.5.</w:t>
      </w:r>
    </w:p>
    <w:p w14:paraId="60168C2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5C0B3DE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Wskazać należy czynności administracyjne niezbędne do wykonania w celu uzyskania ostatecznej decyzji budowlanej (lub ostatecznych decyzji budowlanych).</w:t>
      </w:r>
    </w:p>
    <w:p w14:paraId="3652DEA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A.3.4.6.</w:t>
      </w:r>
    </w:p>
    <w:p w14:paraId="2434595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0753A8E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2F82B6E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A.3.4.7.</w:t>
      </w:r>
    </w:p>
    <w:p w14:paraId="44AE81DF"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wskazać organ, który wyda/wydał zezwolenie na inwestycje/decyzje budowlane lub do którego dokonano zgłoszenia robót budowlanych oraz organ, który wydał decyzje środowiskowe.</w:t>
      </w:r>
    </w:p>
    <w:p w14:paraId="75B9215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A.4.1. </w:t>
      </w:r>
    </w:p>
    <w:p w14:paraId="5A405AC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71E72DE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1 Łagodzenie zmian klimatu art. 9 rozporządzenia w sprawie taksonomii w art. 17 wskazuje, że jeżeli projekt prowadzi do znacznych emisji gazów cieplarnianych to stanowi znaczące szkody dla środowiska i jest nie zgodny z zasadą DNSH. </w:t>
      </w:r>
    </w:p>
    <w:p w14:paraId="4CD7E34F"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Bezpośrednim odwołaniem dla tego celu jest rozporządzenie delegowane Komisji (UE) 2021/2139 z dnia 4 czerwca 2021 r. uzupełniające rozporządzenie Parlamentu Europejskiego </w:t>
      </w:r>
      <w:r w:rsidRPr="004B77D6">
        <w:rPr>
          <w:rFonts w:asciiTheme="minorHAnsi" w:hAnsiTheme="minorHAnsi" w:cstheme="minorHAnsi"/>
          <w:szCs w:val="24"/>
        </w:rPr>
        <w:lastRenderedPageBreak/>
        <w:t>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1382E2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 xml:space="preserve">Punkt A.5.1. </w:t>
      </w:r>
    </w:p>
    <w:p w14:paraId="334E9F6D"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 </w:t>
      </w:r>
    </w:p>
    <w:p w14:paraId="6A46E09A" w14:textId="17A4D9BC"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w:t>
      </w:r>
      <w:r w:rsidR="000A1487" w:rsidRPr="004B77D6">
        <w:rPr>
          <w:rFonts w:asciiTheme="minorHAnsi" w:hAnsiTheme="minorHAnsi" w:cstheme="minorHAnsi"/>
          <w:szCs w:val="24"/>
        </w:rPr>
        <w:t>klimat lub analizę podatności)?</w:t>
      </w:r>
      <w:r w:rsidRPr="004B77D6">
        <w:rPr>
          <w:rFonts w:asciiTheme="minorHAnsi" w:hAnsiTheme="minorHAnsi" w:cstheme="minorHAnsi"/>
          <w:szCs w:val="24"/>
        </w:rPr>
        <w:t xml:space="preserve">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 </w:t>
      </w:r>
    </w:p>
    <w:p w14:paraId="3C23632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49F24D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 xml:space="preserve">Punkt A.5.2. </w:t>
      </w:r>
    </w:p>
    <w:p w14:paraId="5854E787"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niniejszym punkcie należy 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4C43125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w:t>
      </w:r>
      <w:r w:rsidRPr="004B77D6">
        <w:rPr>
          <w:rFonts w:asciiTheme="minorHAnsi" w:hAnsiTheme="minorHAnsi" w:cstheme="minorHAnsi"/>
          <w:szCs w:val="24"/>
        </w:rPr>
        <w:lastRenderedPageBreak/>
        <w:t>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442272F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Punkt A.6.1</w:t>
      </w:r>
    </w:p>
    <w:p w14:paraId="78A1106B"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55FFDCE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A.6.2</w:t>
      </w:r>
    </w:p>
    <w:p w14:paraId="53CA192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t>
      </w:r>
    </w:p>
    <w:p w14:paraId="0B32DBF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392D1F1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A.7.1</w:t>
      </w:r>
    </w:p>
    <w:p w14:paraId="130EB47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 xml:space="preserve">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w:t>
      </w:r>
      <w:r w:rsidRPr="004B77D6">
        <w:rPr>
          <w:rFonts w:asciiTheme="minorHAnsi" w:hAnsiTheme="minorHAnsi" w:cstheme="minorHAnsi"/>
          <w:szCs w:val="24"/>
        </w:rPr>
        <w:lastRenderedPageBreak/>
        <w:t>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 Co jest niezgodne z zasadą DNHS.</w:t>
      </w:r>
    </w:p>
    <w:p w14:paraId="362CE2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A.7.2.</w:t>
      </w:r>
    </w:p>
    <w:p w14:paraId="72FC78C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5AB2CC5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szCs w:val="24"/>
        </w:rPr>
      </w:pPr>
      <w:r w:rsidRPr="004B77D6">
        <w:rPr>
          <w:rFonts w:asciiTheme="minorHAnsi" w:hAnsiTheme="minorHAnsi" w:cstheme="minorHAnsi"/>
          <w:b/>
          <w:szCs w:val="24"/>
        </w:rPr>
        <w:t>Punkt A.8.1.</w:t>
      </w:r>
    </w:p>
    <w:p w14:paraId="185672FD"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 </w:t>
      </w:r>
    </w:p>
    <w:p w14:paraId="478602A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7B211AC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A.9.</w:t>
      </w:r>
    </w:p>
    <w:p w14:paraId="400D617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 </w:t>
      </w:r>
    </w:p>
    <w:p w14:paraId="5C61FBE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6 Ochrona i odbudowa bioróżnorodności i ekosystemów wynikający z art. 9 rozporządzenia w sprawie taksonomii i art. 17 przewiduje, że przedsięwzięcie, które będzie w znacznym stopniu szkodliwe dla dobrego stanu i odporności ekosystemów lub będzie </w:t>
      </w:r>
      <w:r w:rsidRPr="004B77D6">
        <w:rPr>
          <w:rFonts w:asciiTheme="minorHAnsi" w:hAnsiTheme="minorHAnsi" w:cstheme="minorHAnsi"/>
          <w:szCs w:val="24"/>
        </w:rPr>
        <w:lastRenderedPageBreak/>
        <w:t xml:space="preserve">szkodliwe dla stanu zachowania siedlisk i gatunków, w tym siedlisk i gatunków objętych zakresem zainteresowania Unii nie spełnia zasady DNSH. </w:t>
      </w:r>
    </w:p>
    <w:p w14:paraId="3609EB0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Wnioskodawca zaznacza odpowiedź „NIE”, tylko jeżeli nie istniało lub nie istnieje prawdopodobieństwo, że projekt może znacząco oddziaływać na obszary Natura 2000 i nie uznano w związku z tym za konieczne przeprowadzenie oceny oddziaływania na obszary Natura 2000. </w:t>
      </w:r>
    </w:p>
    <w:p w14:paraId="3589DC5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04D6879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 Najczęściej spotykanymi sytuacjami, w których konieczne jest uzyskanie deklaracji przez Wnioskodawcę, są następujące przypadki: </w:t>
      </w:r>
    </w:p>
    <w:p w14:paraId="351C761C"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1FEBEA3D"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4B77D6">
        <w:rPr>
          <w:rFonts w:asciiTheme="minorHAnsi" w:eastAsia="Calibri" w:hAnsiTheme="minorHAnsi" w:cstheme="minorHAnsi"/>
          <w:szCs w:val="24"/>
          <w:lang w:eastAsia="en-US"/>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3885E660"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03E3BDE8"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w:t>
      </w:r>
      <w:r w:rsidRPr="004B77D6">
        <w:rPr>
          <w:rFonts w:asciiTheme="minorHAnsi" w:eastAsia="Calibri" w:hAnsiTheme="minorHAnsi" w:cstheme="minorHAnsi"/>
          <w:szCs w:val="24"/>
          <w:lang w:eastAsia="en-US"/>
        </w:rPr>
        <w:lastRenderedPageBreak/>
        <w:t>postanowieniu tego organu, a następnie w postanowieniu uzgadniającym RDOŚ oraz w decyzji o środowiskowych uwarunkowaniach;</w:t>
      </w:r>
    </w:p>
    <w:p w14:paraId="52F91644"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38D81641"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 </w:t>
      </w:r>
    </w:p>
    <w:p w14:paraId="54DA968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Istotne są zalecenia zawarte w dokumentach: </w:t>
      </w:r>
    </w:p>
    <w:p w14:paraId="60CC9300" w14:textId="77777777" w:rsidR="001D7621" w:rsidRPr="004B77D6" w:rsidRDefault="001D7621" w:rsidP="0089006E">
      <w:pPr>
        <w:numPr>
          <w:ilvl w:val="0"/>
          <w:numId w:val="57"/>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Zarządzanie obszarami Natura 2000. Postanowienia artykułu 6 dyrektywy „siedliskowej” 92/43/EWG; </w:t>
      </w:r>
    </w:p>
    <w:p w14:paraId="2330536C" w14:textId="77777777" w:rsidR="001D7621" w:rsidRPr="004B77D6" w:rsidRDefault="001D7621" w:rsidP="0089006E">
      <w:pPr>
        <w:numPr>
          <w:ilvl w:val="0"/>
          <w:numId w:val="57"/>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Ocena planów i przedsięwzięć znacząco oddziałujących na obszary Natura 2000. Wytyczne metodyczne dotyczące przepisów Artykułu 6(3) i (4) Dyrektywy Siedliskowej 92/43/EWG. </w:t>
      </w:r>
    </w:p>
    <w:p w14:paraId="0FFD29B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przypadku, gdy w raporcie była przeprowadzona ocena zgodnie z art. 6 ust. 3 Dyrektywy Siedliskowej należy załączyć pełną wersję raportu albo rozdziały raportu, w których zawarto ocenę wskazaną w art. 6. ust. 3 Dyrektywy Siedliskowej. </w:t>
      </w:r>
    </w:p>
    <w:p w14:paraId="7E35C5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 </w:t>
      </w:r>
    </w:p>
    <w:p w14:paraId="6FE92A1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lastRenderedPageBreak/>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5F0062BC" w14:textId="188D00D1"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Pozostałe części formularza – jak wskazano do uzupełnienia.</w:t>
      </w:r>
      <w:r w:rsidR="004338AE" w:rsidRPr="004B77D6">
        <w:rPr>
          <w:rFonts w:asciiTheme="minorHAnsi" w:hAnsiTheme="minorHAnsi" w:cstheme="minorHAnsi"/>
          <w:szCs w:val="24"/>
        </w:rPr>
        <w:t xml:space="preserve"> </w:t>
      </w:r>
    </w:p>
    <w:p w14:paraId="2FF700C7" w14:textId="77171D13" w:rsidR="00764854" w:rsidRDefault="00764854" w:rsidP="0071603D">
      <w:pPr>
        <w:spacing w:after="120" w:line="276" w:lineRule="auto"/>
        <w:rPr>
          <w:rFonts w:ascii="Calibri" w:hAnsi="Calibri"/>
          <w:szCs w:val="24"/>
        </w:rPr>
      </w:pPr>
      <w:r w:rsidRPr="004B77D6">
        <w:rPr>
          <w:rFonts w:ascii="Calibri" w:hAnsi="Calibri"/>
          <w:szCs w:val="24"/>
        </w:rPr>
        <w:t xml:space="preserve"> </w:t>
      </w:r>
    </w:p>
    <w:p w14:paraId="31802372" w14:textId="77777777" w:rsidR="00D45E5D" w:rsidRPr="0089006E" w:rsidRDefault="00D45E5D" w:rsidP="00D45E5D">
      <w:pPr>
        <w:keepNext/>
        <w:numPr>
          <w:ilvl w:val="0"/>
          <w:numId w:val="6"/>
        </w:numPr>
        <w:tabs>
          <w:tab w:val="clear" w:pos="360"/>
        </w:tabs>
        <w:suppressAutoHyphens w:val="0"/>
        <w:spacing w:after="120" w:line="276" w:lineRule="auto"/>
        <w:ind w:left="284" w:hanging="284"/>
        <w:outlineLvl w:val="2"/>
        <w:rPr>
          <w:rFonts w:ascii="Calibri" w:hAnsi="Calibri"/>
          <w:b/>
          <w:bCs/>
          <w:sz w:val="28"/>
          <w:szCs w:val="24"/>
        </w:rPr>
      </w:pPr>
      <w:bookmarkStart w:id="113" w:name="_Toc477857441"/>
      <w:bookmarkStart w:id="114" w:name="_Toc54688944"/>
      <w:bookmarkStart w:id="115" w:name="_Toc156890153"/>
      <w:bookmarkStart w:id="116" w:name="_Toc184900802"/>
      <w:r w:rsidRPr="0089006E">
        <w:rPr>
          <w:rFonts w:ascii="Calibri" w:hAnsi="Calibri"/>
          <w:b/>
          <w:bCs/>
          <w:sz w:val="28"/>
          <w:szCs w:val="24"/>
        </w:rPr>
        <w:t>KOPIA POZWOLENIA NA BUDOWĘ, ZEZWOLENIA NA REALIZACJĘ INWESTYCJI DROGOWEJ BĄDŹ ZGŁOSZENIA BUDOWY LUB DOKUMENTY DOTYCZĄCE ZAGOSPODAROWANIA PRZESTRZENNEGO.</w:t>
      </w:r>
      <w:bookmarkEnd w:id="113"/>
      <w:bookmarkEnd w:id="114"/>
      <w:bookmarkEnd w:id="115"/>
      <w:bookmarkEnd w:id="116"/>
    </w:p>
    <w:p w14:paraId="1BDCA67B" w14:textId="77777777" w:rsidR="00D45E5D" w:rsidRPr="0089006E" w:rsidRDefault="00D45E5D" w:rsidP="00D45E5D">
      <w:pPr>
        <w:spacing w:before="120" w:after="120" w:line="276" w:lineRule="auto"/>
        <w:ind w:firstLine="709"/>
        <w:rPr>
          <w:rFonts w:ascii="Calibri" w:hAnsi="Calibri"/>
          <w:szCs w:val="24"/>
        </w:rPr>
      </w:pPr>
      <w:r w:rsidRPr="00D87E89">
        <w:rPr>
          <w:rFonts w:ascii="Calibri" w:hAnsi="Calibri"/>
          <w:szCs w:val="24"/>
        </w:rPr>
        <w:t>Załącznik wymagany jest w przypadku gdy projekt obejmuje swoim zakresem realizację robót budowlanych dla których wskazane dokumenty są wymagane Ustawą Prawo budowlane. Załącznik nie dotyczy projektów polegających wyłącznie na zakupie sprzętu ruchomego, środków trwałych (maszyn, urządzeń, wartości niematerialnych i prawnych), dostawach bądź innych usługach.</w:t>
      </w:r>
      <w:r w:rsidRPr="0089006E">
        <w:rPr>
          <w:rFonts w:ascii="Calibri" w:hAnsi="Calibri"/>
          <w:szCs w:val="24"/>
        </w:rPr>
        <w:t>.</w:t>
      </w:r>
    </w:p>
    <w:p w14:paraId="7AEB7CE5" w14:textId="77777777" w:rsidR="00D45E5D" w:rsidRPr="0089006E" w:rsidRDefault="00D45E5D" w:rsidP="00D45E5D">
      <w:pPr>
        <w:spacing w:before="120" w:after="120" w:line="276" w:lineRule="auto"/>
        <w:ind w:firstLine="709"/>
        <w:rPr>
          <w:rFonts w:ascii="Calibri" w:hAnsi="Calibri"/>
          <w:szCs w:val="24"/>
        </w:rPr>
      </w:pPr>
    </w:p>
    <w:p w14:paraId="37235095" w14:textId="77777777" w:rsidR="00D45E5D" w:rsidRPr="0089006E" w:rsidRDefault="00D45E5D" w:rsidP="00D45E5D">
      <w:pPr>
        <w:numPr>
          <w:ilvl w:val="0"/>
          <w:numId w:val="68"/>
        </w:numPr>
        <w:tabs>
          <w:tab w:val="num" w:pos="0"/>
        </w:tabs>
        <w:suppressAutoHyphens w:val="0"/>
        <w:spacing w:before="120" w:after="120" w:line="276" w:lineRule="auto"/>
        <w:ind w:left="0" w:firstLine="0"/>
        <w:rPr>
          <w:rFonts w:asciiTheme="minorHAnsi" w:hAnsiTheme="minorHAnsi" w:cstheme="minorHAnsi"/>
          <w:b/>
          <w:szCs w:val="24"/>
        </w:rPr>
      </w:pPr>
      <w:r w:rsidRPr="0089006E">
        <w:rPr>
          <w:rFonts w:asciiTheme="minorHAnsi" w:hAnsiTheme="minorHAnsi" w:cstheme="minorHAnsi"/>
          <w:b/>
          <w:szCs w:val="24"/>
        </w:rPr>
        <w:t xml:space="preserve">KOPIA POZWOLENIA NA BUDOWĘ, ZEZWOLENIA NA REALIZACJĘ INWESTYCJI DROGOWEJ BĄDŹ ZGŁOSZENIA BUDOWY </w:t>
      </w:r>
    </w:p>
    <w:p w14:paraId="60D7337A" w14:textId="77777777" w:rsidR="00D45E5D" w:rsidRPr="0089006E" w:rsidRDefault="00D45E5D" w:rsidP="00D45E5D">
      <w:pPr>
        <w:autoSpaceDE w:val="0"/>
        <w:autoSpaceDN w:val="0"/>
        <w:adjustRightInd w:val="0"/>
        <w:spacing w:before="120" w:after="120" w:line="276" w:lineRule="auto"/>
        <w:ind w:firstLine="720"/>
        <w:rPr>
          <w:rFonts w:asciiTheme="minorHAnsi" w:hAnsiTheme="minorHAnsi" w:cstheme="minorHAnsi"/>
          <w:szCs w:val="24"/>
        </w:rPr>
      </w:pPr>
      <w:r w:rsidRPr="0089006E">
        <w:rPr>
          <w:rFonts w:asciiTheme="minorHAnsi" w:hAnsiTheme="minorHAnsi" w:cstheme="minorHAnsi"/>
          <w:szCs w:val="24"/>
        </w:rPr>
        <w:t xml:space="preserve">W momencie składania wniosku o dofinansowanie przedstawienie jednego z wyżej wymienionych dokumentów nie jest bezwzględne, jednakże do czasu podpisania umowy </w:t>
      </w:r>
      <w:r w:rsidRPr="0089006E">
        <w:rPr>
          <w:rFonts w:asciiTheme="minorHAnsi" w:hAnsiTheme="minorHAnsi" w:cstheme="minorHAnsi"/>
          <w:szCs w:val="24"/>
        </w:rPr>
        <w:br/>
        <w:t xml:space="preserve">o dofinansowanie projektu ze środków EFRR wnioskodawca zobowiązany jest dostarczyć kserokopię jednego z dokumentów do IZ </w:t>
      </w:r>
      <w:r w:rsidRPr="000F39C6">
        <w:rPr>
          <w:rFonts w:asciiTheme="minorHAnsi" w:hAnsiTheme="minorHAnsi" w:cstheme="minorHAnsi"/>
          <w:szCs w:val="24"/>
        </w:rPr>
        <w:t>FEO 2021-2027</w:t>
      </w:r>
      <w:r w:rsidRPr="0089006E">
        <w:rPr>
          <w:rFonts w:asciiTheme="minorHAnsi" w:hAnsiTheme="minorHAnsi" w:cstheme="minorHAnsi"/>
          <w:szCs w:val="24"/>
        </w:rPr>
        <w:t xml:space="preserve">. Załączone dokumenty powinny być prawomocne i aktualne tzn. </w:t>
      </w:r>
    </w:p>
    <w:p w14:paraId="3ADEB6DF" w14:textId="77777777" w:rsidR="00D45E5D" w:rsidRPr="0089006E" w:rsidRDefault="00D45E5D" w:rsidP="00D45E5D">
      <w:pPr>
        <w:numPr>
          <w:ilvl w:val="1"/>
          <w:numId w:val="3"/>
        </w:numPr>
        <w:tabs>
          <w:tab w:val="clear" w:pos="1440"/>
        </w:tabs>
        <w:suppressAutoHyphens w:val="0"/>
        <w:spacing w:before="120" w:after="40" w:line="276" w:lineRule="auto"/>
        <w:ind w:left="709" w:hanging="709"/>
        <w:rPr>
          <w:rFonts w:asciiTheme="minorHAnsi" w:hAnsiTheme="minorHAnsi" w:cstheme="minorHAnsi"/>
          <w:szCs w:val="24"/>
        </w:rPr>
      </w:pPr>
      <w:r w:rsidRPr="0089006E">
        <w:rPr>
          <w:rFonts w:asciiTheme="minorHAnsi" w:hAnsiTheme="minorHAnsi" w:cstheme="minorHAnsi"/>
          <w:szCs w:val="24"/>
        </w:rPr>
        <w:t xml:space="preserve">jeśli prace budowlane nie zostały rozpoczęte </w:t>
      </w:r>
      <w:r w:rsidRPr="0089006E">
        <w:rPr>
          <w:rFonts w:asciiTheme="minorHAnsi" w:hAnsiTheme="minorHAnsi" w:cstheme="minorHAnsi"/>
          <w:b/>
          <w:szCs w:val="24"/>
        </w:rPr>
        <w:t>pozwolenie budowlane</w:t>
      </w:r>
      <w:r w:rsidRPr="0089006E">
        <w:rPr>
          <w:rFonts w:asciiTheme="minorHAnsi" w:hAnsiTheme="minorHAnsi" w:cstheme="minorHAnsi"/>
          <w:szCs w:val="24"/>
        </w:rPr>
        <w:t xml:space="preserve"> </w:t>
      </w:r>
      <w:r w:rsidRPr="0089006E">
        <w:rPr>
          <w:rFonts w:asciiTheme="minorHAnsi" w:hAnsiTheme="minorHAnsi" w:cstheme="minorHAnsi"/>
          <w:b/>
          <w:szCs w:val="24"/>
        </w:rPr>
        <w:t>nie powinno być starsze niż trzy lata</w:t>
      </w:r>
      <w:r w:rsidRPr="0089006E">
        <w:rPr>
          <w:rFonts w:asciiTheme="minorHAnsi" w:hAnsiTheme="minorHAnsi" w:cstheme="minorHAnsi"/>
          <w:szCs w:val="24"/>
        </w:rPr>
        <w:t xml:space="preserve"> od dnia, w którym decyzja stała się ostateczna. </w:t>
      </w:r>
      <w:r w:rsidRPr="0089006E">
        <w:rPr>
          <w:rFonts w:asciiTheme="minorHAnsi" w:hAnsiTheme="minorHAnsi" w:cstheme="minorHAnsi"/>
          <w:szCs w:val="24"/>
        </w:rPr>
        <w:br/>
        <w:t xml:space="preserve">Natomiast </w:t>
      </w:r>
      <w:r w:rsidRPr="0089006E">
        <w:rPr>
          <w:rFonts w:asciiTheme="minorHAnsi" w:hAnsiTheme="minorHAnsi" w:cstheme="minorHAnsi"/>
          <w:b/>
          <w:szCs w:val="24"/>
        </w:rPr>
        <w:t>zgłoszenie budowy nie powinno być starsze niż trzy lata</w:t>
      </w:r>
      <w:r w:rsidRPr="0089006E">
        <w:rPr>
          <w:rFonts w:asciiTheme="minorHAnsi" w:hAnsiTheme="minorHAnsi" w:cstheme="minorHAnsi"/>
          <w:szCs w:val="24"/>
        </w:rPr>
        <w:t xml:space="preserve"> od określonego w zgłoszeniu terminu rozpoczęcia prac budowlanych;</w:t>
      </w:r>
    </w:p>
    <w:p w14:paraId="0D1A63E7" w14:textId="77777777" w:rsidR="00D45E5D" w:rsidRPr="0089006E" w:rsidRDefault="00D45E5D" w:rsidP="00D45E5D">
      <w:pPr>
        <w:numPr>
          <w:ilvl w:val="1"/>
          <w:numId w:val="3"/>
        </w:numPr>
        <w:tabs>
          <w:tab w:val="clear" w:pos="1440"/>
        </w:tabs>
        <w:suppressAutoHyphens w:val="0"/>
        <w:spacing w:before="40" w:after="120" w:line="276" w:lineRule="auto"/>
        <w:ind w:left="709" w:hanging="709"/>
        <w:rPr>
          <w:rFonts w:asciiTheme="minorHAnsi" w:hAnsiTheme="minorHAnsi" w:cstheme="minorHAnsi"/>
          <w:szCs w:val="24"/>
        </w:rPr>
      </w:pPr>
      <w:r w:rsidRPr="0089006E">
        <w:rPr>
          <w:rFonts w:asciiTheme="minorHAnsi" w:hAnsiTheme="minorHAnsi" w:cstheme="minorHAnsi"/>
          <w:szCs w:val="24"/>
        </w:rPr>
        <w:t xml:space="preserve">gdy prace budowlane zostały rozpoczęte, dodatkowo należy dostarczyć </w:t>
      </w:r>
      <w:r w:rsidRPr="0089006E">
        <w:rPr>
          <w:rFonts w:asciiTheme="minorHAnsi" w:hAnsiTheme="minorHAnsi" w:cstheme="minorHAnsi"/>
          <w:b/>
          <w:szCs w:val="24"/>
        </w:rPr>
        <w:t>kserokopie pierwszej strony dziennika budowy oraz stronę z ostatnim wpisem</w:t>
      </w:r>
      <w:r w:rsidRPr="0089006E">
        <w:rPr>
          <w:rFonts w:asciiTheme="minorHAnsi" w:hAnsiTheme="minorHAnsi" w:cstheme="minorHAnsi"/>
          <w:szCs w:val="24"/>
        </w:rPr>
        <w:t xml:space="preserve">, który potwierdza ważność pozwolenia. </w:t>
      </w:r>
    </w:p>
    <w:p w14:paraId="4877550E" w14:textId="77777777" w:rsidR="00D45E5D" w:rsidRPr="0089006E" w:rsidRDefault="00D45E5D" w:rsidP="00D45E5D">
      <w:pPr>
        <w:spacing w:before="120" w:after="120" w:line="276" w:lineRule="auto"/>
        <w:ind w:firstLine="709"/>
        <w:rPr>
          <w:rFonts w:asciiTheme="minorHAnsi" w:hAnsiTheme="minorHAnsi" w:cstheme="minorHAnsi"/>
          <w:szCs w:val="24"/>
        </w:rPr>
      </w:pPr>
      <w:r w:rsidRPr="0089006E">
        <w:rPr>
          <w:rFonts w:asciiTheme="minorHAnsi" w:hAnsiTheme="minorHAnsi" w:cstheme="minorHAnsi"/>
          <w:szCs w:val="24"/>
        </w:rPr>
        <w:t>Informacje zawarte w pozwoleniu na budowę bądź zgłoszeniu budowy powinny być zbieżne z informacjami zawartymi we wniosku o dofinansowanie oraz pozostałych załącznikach.</w:t>
      </w:r>
    </w:p>
    <w:p w14:paraId="2506E682" w14:textId="77777777" w:rsidR="00D45E5D" w:rsidRPr="0089006E" w:rsidRDefault="00D45E5D" w:rsidP="00D45E5D">
      <w:pPr>
        <w:spacing w:before="120" w:after="120" w:line="276" w:lineRule="auto"/>
        <w:ind w:firstLine="709"/>
        <w:rPr>
          <w:rFonts w:asciiTheme="minorHAnsi" w:hAnsiTheme="minorHAnsi" w:cstheme="minorHAnsi"/>
          <w:szCs w:val="24"/>
        </w:rPr>
      </w:pPr>
      <w:r>
        <w:rPr>
          <w:rFonts w:asciiTheme="minorHAnsi" w:hAnsiTheme="minorHAnsi" w:cstheme="minorHAnsi"/>
          <w:szCs w:val="24"/>
        </w:rPr>
        <w:lastRenderedPageBreak/>
        <w:t>R</w:t>
      </w:r>
      <w:r w:rsidRPr="0089006E">
        <w:rPr>
          <w:rFonts w:asciiTheme="minorHAnsi" w:hAnsiTheme="minorHAnsi" w:cstheme="minorHAnsi"/>
          <w:szCs w:val="24"/>
        </w:rPr>
        <w:t>ob</w:t>
      </w:r>
      <w:r>
        <w:rPr>
          <w:rFonts w:asciiTheme="minorHAnsi" w:hAnsiTheme="minorHAnsi" w:cstheme="minorHAnsi"/>
          <w:szCs w:val="24"/>
        </w:rPr>
        <w:t>o</w:t>
      </w:r>
      <w:r w:rsidRPr="0089006E">
        <w:rPr>
          <w:rFonts w:asciiTheme="minorHAnsi" w:hAnsiTheme="minorHAnsi" w:cstheme="minorHAnsi"/>
          <w:szCs w:val="24"/>
        </w:rPr>
        <w:t>t</w:t>
      </w:r>
      <w:r>
        <w:rPr>
          <w:rFonts w:asciiTheme="minorHAnsi" w:hAnsiTheme="minorHAnsi" w:cstheme="minorHAnsi"/>
          <w:szCs w:val="24"/>
        </w:rPr>
        <w:t>y</w:t>
      </w:r>
      <w:r w:rsidRPr="0089006E">
        <w:rPr>
          <w:rFonts w:asciiTheme="minorHAnsi" w:hAnsiTheme="minorHAnsi" w:cstheme="minorHAnsi"/>
          <w:szCs w:val="24"/>
        </w:rPr>
        <w:t xml:space="preserve"> budowlan</w:t>
      </w:r>
      <w:r>
        <w:rPr>
          <w:rFonts w:asciiTheme="minorHAnsi" w:hAnsiTheme="minorHAnsi" w:cstheme="minorHAnsi"/>
          <w:szCs w:val="24"/>
        </w:rPr>
        <w:t>e</w:t>
      </w:r>
      <w:r w:rsidRPr="0089006E">
        <w:rPr>
          <w:rFonts w:asciiTheme="minorHAnsi" w:hAnsiTheme="minorHAnsi" w:cstheme="minorHAnsi"/>
          <w:szCs w:val="24"/>
        </w:rPr>
        <w:t>, które wymagają zgłoszenia właściwemu organowi zostały określone w art. 30 Ustawy z dnia 7 lipca 1994 r. Prawo budowlane (</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U. z 202</w:t>
      </w:r>
      <w:r>
        <w:rPr>
          <w:rFonts w:asciiTheme="minorHAnsi" w:hAnsiTheme="minorHAnsi" w:cstheme="minorHAnsi"/>
          <w:szCs w:val="24"/>
        </w:rPr>
        <w:t>3</w:t>
      </w:r>
      <w:r w:rsidRPr="0089006E">
        <w:rPr>
          <w:rFonts w:asciiTheme="minorHAnsi" w:hAnsiTheme="minorHAnsi" w:cstheme="minorHAnsi"/>
          <w:szCs w:val="24"/>
        </w:rPr>
        <w:t xml:space="preserve"> r., poz. </w:t>
      </w:r>
      <w:r>
        <w:rPr>
          <w:rFonts w:asciiTheme="minorHAnsi" w:hAnsiTheme="minorHAnsi" w:cstheme="minorHAnsi"/>
          <w:szCs w:val="24"/>
        </w:rPr>
        <w:t xml:space="preserve">682 z </w:t>
      </w:r>
      <w:proofErr w:type="spellStart"/>
      <w:r>
        <w:rPr>
          <w:rFonts w:asciiTheme="minorHAnsi" w:hAnsiTheme="minorHAnsi" w:cstheme="minorHAnsi"/>
          <w:szCs w:val="24"/>
        </w:rPr>
        <w:t>późn</w:t>
      </w:r>
      <w:proofErr w:type="spellEnd"/>
      <w:r>
        <w:rPr>
          <w:rFonts w:asciiTheme="minorHAnsi" w:hAnsiTheme="minorHAnsi" w:cstheme="minorHAnsi"/>
          <w:szCs w:val="24"/>
        </w:rPr>
        <w:t>. zm.).</w:t>
      </w:r>
    </w:p>
    <w:p w14:paraId="14C5DCB3" w14:textId="77777777" w:rsidR="00D45E5D" w:rsidRPr="0089006E" w:rsidRDefault="00D45E5D" w:rsidP="00D45E5D">
      <w:pPr>
        <w:spacing w:before="120" w:after="120" w:line="276" w:lineRule="auto"/>
        <w:ind w:firstLine="709"/>
        <w:rPr>
          <w:rFonts w:asciiTheme="minorHAnsi" w:hAnsiTheme="minorHAnsi" w:cstheme="minorHAnsi"/>
          <w:i/>
          <w:szCs w:val="24"/>
        </w:rPr>
      </w:pPr>
      <w:r w:rsidRPr="0089006E">
        <w:rPr>
          <w:rFonts w:asciiTheme="minorHAnsi" w:hAnsiTheme="minorHAnsi" w:cstheme="minorHAnsi"/>
          <w:szCs w:val="24"/>
        </w:rPr>
        <w:t xml:space="preserve">W przypadku realizacji inwestycji w zakresie dróg publicznych należy przedstawić prawomocną </w:t>
      </w:r>
      <w:r w:rsidRPr="0089006E">
        <w:rPr>
          <w:rFonts w:asciiTheme="minorHAnsi" w:hAnsiTheme="minorHAnsi" w:cstheme="minorHAnsi"/>
          <w:i/>
          <w:szCs w:val="24"/>
        </w:rPr>
        <w:t>Decyzję o zezwoleniu na realizację inwestycji drogowej.</w:t>
      </w:r>
    </w:p>
    <w:p w14:paraId="05B07FD8" w14:textId="77777777" w:rsidR="00D45E5D" w:rsidRPr="0089006E" w:rsidRDefault="00D45E5D" w:rsidP="00D45E5D">
      <w:pPr>
        <w:spacing w:before="120" w:after="120" w:line="276" w:lineRule="auto"/>
        <w:ind w:firstLine="709"/>
        <w:rPr>
          <w:rFonts w:asciiTheme="minorHAnsi" w:hAnsiTheme="minorHAnsi" w:cstheme="minorHAnsi"/>
          <w:szCs w:val="24"/>
        </w:rPr>
      </w:pPr>
    </w:p>
    <w:p w14:paraId="5F253983" w14:textId="77777777" w:rsidR="00D45E5D" w:rsidRPr="0089006E" w:rsidRDefault="00D45E5D" w:rsidP="00D45E5D">
      <w:pPr>
        <w:spacing w:before="120" w:after="120" w:line="276" w:lineRule="auto"/>
        <w:ind w:firstLine="709"/>
        <w:rPr>
          <w:rFonts w:asciiTheme="minorHAnsi" w:hAnsiTheme="minorHAnsi" w:cstheme="minorHAnsi"/>
          <w:i/>
          <w:szCs w:val="24"/>
        </w:rPr>
      </w:pPr>
      <w:r>
        <w:rPr>
          <w:rFonts w:asciiTheme="minorHAnsi" w:hAnsiTheme="minorHAnsi" w:cstheme="minorHAnsi"/>
          <w:szCs w:val="24"/>
        </w:rPr>
        <w:t>Natomiast gdy Wnioskodawca planuje realizować</w:t>
      </w:r>
      <w:r w:rsidRPr="0089006E">
        <w:rPr>
          <w:rFonts w:asciiTheme="minorHAnsi" w:hAnsiTheme="minorHAnsi" w:cstheme="minorHAnsi"/>
          <w:szCs w:val="24"/>
        </w:rPr>
        <w:t xml:space="preserve"> projekt </w:t>
      </w:r>
      <w:r>
        <w:rPr>
          <w:rFonts w:asciiTheme="minorHAnsi" w:hAnsiTheme="minorHAnsi" w:cstheme="minorHAnsi"/>
          <w:szCs w:val="24"/>
        </w:rPr>
        <w:t xml:space="preserve">w formule zaprojektuj i wybuduj tj. na podstawie </w:t>
      </w:r>
      <w:r w:rsidRPr="0089006E">
        <w:rPr>
          <w:rFonts w:asciiTheme="minorHAnsi" w:hAnsiTheme="minorHAnsi" w:cstheme="minorHAnsi"/>
          <w:szCs w:val="24"/>
        </w:rPr>
        <w:t>program</w:t>
      </w:r>
      <w:r>
        <w:rPr>
          <w:rFonts w:asciiTheme="minorHAnsi" w:hAnsiTheme="minorHAnsi" w:cstheme="minorHAnsi"/>
          <w:szCs w:val="24"/>
        </w:rPr>
        <w:t>u</w:t>
      </w:r>
      <w:r w:rsidRPr="0089006E">
        <w:rPr>
          <w:rFonts w:asciiTheme="minorHAnsi" w:hAnsiTheme="minorHAnsi" w:cstheme="minorHAnsi"/>
          <w:szCs w:val="24"/>
        </w:rPr>
        <w:t xml:space="preserve"> funkcjonalno-użytkow</w:t>
      </w:r>
      <w:r>
        <w:rPr>
          <w:rFonts w:asciiTheme="minorHAnsi" w:hAnsiTheme="minorHAnsi" w:cstheme="minorHAnsi"/>
          <w:szCs w:val="24"/>
        </w:rPr>
        <w:t>ego</w:t>
      </w:r>
      <w:r w:rsidRPr="0089006E">
        <w:rPr>
          <w:rFonts w:asciiTheme="minorHAnsi" w:hAnsiTheme="minorHAnsi" w:cstheme="minorHAnsi"/>
          <w:szCs w:val="24"/>
        </w:rPr>
        <w:t xml:space="preserve"> dostarczenie pozwolenia na</w:t>
      </w:r>
      <w:r>
        <w:rPr>
          <w:rFonts w:asciiTheme="minorHAnsi" w:hAnsiTheme="minorHAnsi" w:cstheme="minorHAnsi"/>
          <w:szCs w:val="24"/>
        </w:rPr>
        <w:t> </w:t>
      </w:r>
      <w:r w:rsidRPr="0089006E">
        <w:rPr>
          <w:rFonts w:asciiTheme="minorHAnsi" w:hAnsiTheme="minorHAnsi" w:cstheme="minorHAnsi"/>
          <w:szCs w:val="24"/>
        </w:rPr>
        <w:t>budowę przed podpisaniem umowy nie jest wymagane ze względu na specyfikę projektu. W</w:t>
      </w:r>
      <w:r>
        <w:rPr>
          <w:rFonts w:asciiTheme="minorHAnsi" w:hAnsiTheme="minorHAnsi" w:cstheme="minorHAnsi"/>
          <w:szCs w:val="24"/>
        </w:rPr>
        <w:t> tej sytuacji W</w:t>
      </w:r>
      <w:r w:rsidRPr="0089006E">
        <w:rPr>
          <w:rFonts w:asciiTheme="minorHAnsi" w:hAnsiTheme="minorHAnsi" w:cstheme="minorHAnsi"/>
          <w:szCs w:val="24"/>
        </w:rPr>
        <w:t>nioskodawcy  na etapie składania wniosku o dofinansowanie zobowiązani są</w:t>
      </w:r>
      <w:r>
        <w:rPr>
          <w:rFonts w:asciiTheme="minorHAnsi" w:hAnsiTheme="minorHAnsi" w:cstheme="minorHAnsi"/>
          <w:szCs w:val="24"/>
        </w:rPr>
        <w:t> </w:t>
      </w:r>
      <w:r w:rsidRPr="0089006E">
        <w:rPr>
          <w:rFonts w:asciiTheme="minorHAnsi" w:hAnsiTheme="minorHAnsi" w:cstheme="minorHAnsi"/>
          <w:szCs w:val="24"/>
        </w:rPr>
        <w:t xml:space="preserve">dostarczyć jeden z dokumentów wymienionych w pkt. 3.2, </w:t>
      </w:r>
      <w:r>
        <w:rPr>
          <w:rFonts w:asciiTheme="minorHAnsi" w:hAnsiTheme="minorHAnsi" w:cstheme="minorHAnsi"/>
          <w:szCs w:val="24"/>
        </w:rPr>
        <w:t>a</w:t>
      </w:r>
      <w:r w:rsidRPr="0089006E">
        <w:rPr>
          <w:rFonts w:asciiTheme="minorHAnsi" w:hAnsiTheme="minorHAnsi" w:cstheme="minorHAnsi"/>
          <w:szCs w:val="24"/>
        </w:rPr>
        <w:t xml:space="preserve"> pozwolenie budowlane </w:t>
      </w:r>
      <w:r>
        <w:rPr>
          <w:rFonts w:asciiTheme="minorHAnsi" w:hAnsiTheme="minorHAnsi" w:cstheme="minorHAnsi"/>
          <w:szCs w:val="24"/>
        </w:rPr>
        <w:t>zobowiązani są</w:t>
      </w:r>
      <w:r w:rsidRPr="0089006E">
        <w:rPr>
          <w:rFonts w:asciiTheme="minorHAnsi" w:hAnsiTheme="minorHAnsi" w:cstheme="minorHAnsi"/>
          <w:szCs w:val="24"/>
        </w:rPr>
        <w:t xml:space="preserve"> dostarczyć niezwłocznie po jego </w:t>
      </w:r>
      <w:r>
        <w:rPr>
          <w:rFonts w:asciiTheme="minorHAnsi" w:hAnsiTheme="minorHAnsi" w:cstheme="minorHAnsi"/>
          <w:szCs w:val="24"/>
        </w:rPr>
        <w:t>uzyskaniu</w:t>
      </w:r>
      <w:r w:rsidRPr="0089006E">
        <w:rPr>
          <w:rFonts w:asciiTheme="minorHAnsi" w:hAnsiTheme="minorHAnsi" w:cstheme="minorHAnsi"/>
          <w:szCs w:val="24"/>
        </w:rPr>
        <w:t xml:space="preserve"> wraz z potwierdzeniem, iż decyzja stała się ostateczna.</w:t>
      </w:r>
    </w:p>
    <w:p w14:paraId="321C51B3" w14:textId="77777777" w:rsidR="00D45E5D" w:rsidRPr="0089006E" w:rsidRDefault="00D45E5D" w:rsidP="00D45E5D">
      <w:pPr>
        <w:tabs>
          <w:tab w:val="left" w:pos="709"/>
        </w:tabs>
        <w:suppressAutoHyphens w:val="0"/>
        <w:spacing w:after="120" w:line="276" w:lineRule="auto"/>
        <w:ind w:left="709"/>
        <w:rPr>
          <w:rFonts w:asciiTheme="minorHAnsi" w:hAnsiTheme="minorHAnsi" w:cstheme="minorHAnsi"/>
          <w:szCs w:val="24"/>
        </w:rPr>
      </w:pPr>
    </w:p>
    <w:p w14:paraId="03770437" w14:textId="77777777" w:rsidR="00D45E5D" w:rsidRPr="0089006E" w:rsidRDefault="00D45E5D" w:rsidP="00D45E5D">
      <w:pPr>
        <w:numPr>
          <w:ilvl w:val="0"/>
          <w:numId w:val="69"/>
        </w:numPr>
        <w:tabs>
          <w:tab w:val="left" w:pos="709"/>
        </w:tabs>
        <w:suppressAutoHyphens w:val="0"/>
        <w:spacing w:after="120" w:line="276" w:lineRule="auto"/>
        <w:ind w:left="709" w:hanging="709"/>
        <w:rPr>
          <w:rFonts w:asciiTheme="minorHAnsi" w:hAnsiTheme="minorHAnsi" w:cstheme="minorHAnsi"/>
          <w:szCs w:val="24"/>
        </w:rPr>
      </w:pPr>
      <w:r w:rsidRPr="0089006E">
        <w:rPr>
          <w:rFonts w:asciiTheme="minorHAnsi" w:hAnsiTheme="minorHAnsi" w:cstheme="minorHAnsi"/>
          <w:b/>
          <w:szCs w:val="24"/>
        </w:rPr>
        <w:t>DOKUMENTY DOTYCZĄCE ZAGOSPODAROWANIA PRZESTRZENNEGO</w:t>
      </w:r>
    </w:p>
    <w:p w14:paraId="07E970B3" w14:textId="77777777" w:rsidR="00D45E5D" w:rsidRPr="0089006E" w:rsidRDefault="00D45E5D" w:rsidP="00D45E5D">
      <w:pPr>
        <w:spacing w:before="120" w:after="120" w:line="276" w:lineRule="auto"/>
        <w:ind w:firstLine="709"/>
        <w:rPr>
          <w:rFonts w:asciiTheme="minorHAnsi" w:hAnsiTheme="minorHAnsi" w:cstheme="minorHAnsi"/>
          <w:szCs w:val="24"/>
        </w:rPr>
      </w:pPr>
      <w:r w:rsidRPr="0089006E">
        <w:rPr>
          <w:rFonts w:asciiTheme="minorHAnsi" w:hAnsiTheme="minorHAnsi" w:cstheme="minorHAnsi"/>
          <w:szCs w:val="24"/>
        </w:rPr>
        <w:t xml:space="preserve">W przypadku projektów </w:t>
      </w:r>
      <w:r>
        <w:rPr>
          <w:rFonts w:asciiTheme="minorHAnsi" w:hAnsiTheme="minorHAnsi" w:cstheme="minorHAnsi"/>
          <w:szCs w:val="24"/>
        </w:rPr>
        <w:t xml:space="preserve">realizowanych w formule zaprojektuj i wybuduj tj. na podstawie </w:t>
      </w:r>
      <w:r w:rsidRPr="0089006E">
        <w:rPr>
          <w:rFonts w:asciiTheme="minorHAnsi" w:hAnsiTheme="minorHAnsi" w:cstheme="minorHAnsi"/>
          <w:szCs w:val="24"/>
        </w:rPr>
        <w:t>program</w:t>
      </w:r>
      <w:r>
        <w:rPr>
          <w:rFonts w:asciiTheme="minorHAnsi" w:hAnsiTheme="minorHAnsi" w:cstheme="minorHAnsi"/>
          <w:szCs w:val="24"/>
        </w:rPr>
        <w:t>u</w:t>
      </w:r>
      <w:r w:rsidRPr="0089006E">
        <w:rPr>
          <w:rFonts w:asciiTheme="minorHAnsi" w:hAnsiTheme="minorHAnsi" w:cstheme="minorHAnsi"/>
          <w:szCs w:val="24"/>
        </w:rPr>
        <w:t xml:space="preserve"> funkcjonalno-użytkow</w:t>
      </w:r>
      <w:r>
        <w:rPr>
          <w:rFonts w:asciiTheme="minorHAnsi" w:hAnsiTheme="minorHAnsi" w:cstheme="minorHAnsi"/>
          <w:szCs w:val="24"/>
        </w:rPr>
        <w:t>ego</w:t>
      </w:r>
      <w:r w:rsidRPr="0089006E">
        <w:rPr>
          <w:rFonts w:asciiTheme="minorHAnsi" w:hAnsiTheme="minorHAnsi" w:cstheme="minorHAnsi"/>
          <w:szCs w:val="24"/>
        </w:rPr>
        <w:t xml:space="preserve">, do wniosku o dofinansowanie wnioskodawca zobowiązany jest dołączyć właściwe dokumenty opisane w pkt. 3.2.1, 3.2.2 oraz 3.2.3. </w:t>
      </w:r>
    </w:p>
    <w:p w14:paraId="219537C7" w14:textId="77777777" w:rsidR="00D45E5D" w:rsidRPr="0089006E" w:rsidRDefault="00D45E5D" w:rsidP="00D45E5D">
      <w:pPr>
        <w:spacing w:before="360" w:after="120" w:line="276" w:lineRule="auto"/>
        <w:ind w:left="902" w:hanging="902"/>
        <w:rPr>
          <w:rFonts w:asciiTheme="minorHAnsi" w:hAnsiTheme="minorHAnsi" w:cstheme="minorHAnsi"/>
          <w:color w:val="000000"/>
          <w:szCs w:val="24"/>
        </w:rPr>
      </w:pPr>
      <w:r w:rsidRPr="0089006E">
        <w:rPr>
          <w:rFonts w:asciiTheme="minorHAnsi" w:hAnsiTheme="minorHAnsi" w:cstheme="minorHAnsi"/>
          <w:b/>
          <w:bCs/>
          <w:color w:val="000000"/>
          <w:szCs w:val="24"/>
        </w:rPr>
        <w:t>3.2.1</w:t>
      </w:r>
      <w:r w:rsidRPr="0089006E">
        <w:rPr>
          <w:rFonts w:asciiTheme="minorHAnsi" w:hAnsiTheme="minorHAnsi" w:cstheme="minorHAnsi"/>
          <w:color w:val="000000"/>
          <w:szCs w:val="24"/>
        </w:rPr>
        <w:t> </w:t>
      </w:r>
      <w:r w:rsidRPr="0089006E">
        <w:rPr>
          <w:rFonts w:asciiTheme="minorHAnsi" w:hAnsiTheme="minorHAnsi" w:cstheme="minorHAnsi"/>
          <w:b/>
          <w:bCs/>
          <w:color w:val="000000"/>
          <w:szCs w:val="24"/>
        </w:rPr>
        <w:t>WYPIS I WYRYS Z MIEJSCOWEGO PLANU ZAGOSPODAROWANIA PRZESTRZENNEGO</w:t>
      </w:r>
    </w:p>
    <w:p w14:paraId="7489A255" w14:textId="77777777" w:rsidR="00D45E5D" w:rsidRPr="0089006E" w:rsidRDefault="00D45E5D" w:rsidP="00D45E5D">
      <w:pPr>
        <w:spacing w:before="120" w:after="240" w:line="276" w:lineRule="auto"/>
        <w:ind w:firstLine="709"/>
        <w:rPr>
          <w:rFonts w:asciiTheme="minorHAnsi" w:hAnsiTheme="minorHAnsi" w:cstheme="minorHAnsi"/>
          <w:color w:val="000000"/>
          <w:szCs w:val="24"/>
        </w:rPr>
      </w:pPr>
      <w:r w:rsidRPr="0089006E">
        <w:rPr>
          <w:rFonts w:asciiTheme="minorHAnsi" w:hAnsiTheme="minorHAnsi" w:cstheme="minorHAnsi"/>
          <w:color w:val="000000"/>
          <w:szCs w:val="24"/>
        </w:rPr>
        <w:t xml:space="preserve">Należy dołączyć aktualny wypis i </w:t>
      </w:r>
      <w:proofErr w:type="spellStart"/>
      <w:r w:rsidRPr="0089006E">
        <w:rPr>
          <w:rFonts w:asciiTheme="minorHAnsi" w:hAnsiTheme="minorHAnsi" w:cstheme="minorHAnsi"/>
          <w:color w:val="000000"/>
          <w:szCs w:val="24"/>
        </w:rPr>
        <w:t>wyrys</w:t>
      </w:r>
      <w:proofErr w:type="spellEnd"/>
      <w:r w:rsidRPr="0089006E">
        <w:rPr>
          <w:rFonts w:asciiTheme="minorHAnsi" w:hAnsiTheme="minorHAnsi" w:cstheme="minorHAnsi"/>
          <w:color w:val="000000"/>
          <w:szCs w:val="24"/>
        </w:rPr>
        <w:t xml:space="preserve"> z obowiązującego miejscowego planu zagospodarowania przestrzennego, określający przeznaczenie terenu, na którym będzie realizowany projekt.</w:t>
      </w:r>
    </w:p>
    <w:p w14:paraId="5F259D4C" w14:textId="77777777" w:rsidR="00D45E5D" w:rsidRPr="0089006E" w:rsidRDefault="00D45E5D" w:rsidP="00D45E5D">
      <w:pPr>
        <w:spacing w:before="360" w:after="120" w:line="276" w:lineRule="auto"/>
        <w:ind w:left="902" w:hanging="851"/>
        <w:rPr>
          <w:rFonts w:asciiTheme="minorHAnsi" w:hAnsiTheme="minorHAnsi" w:cstheme="minorHAnsi"/>
          <w:color w:val="000000"/>
          <w:szCs w:val="24"/>
        </w:rPr>
      </w:pPr>
      <w:r w:rsidRPr="0089006E">
        <w:rPr>
          <w:rFonts w:asciiTheme="minorHAnsi" w:hAnsiTheme="minorHAnsi" w:cstheme="minorHAnsi"/>
          <w:b/>
          <w:bCs/>
          <w:color w:val="000000"/>
          <w:szCs w:val="24"/>
        </w:rPr>
        <w:t>3.2.2</w:t>
      </w:r>
      <w:r w:rsidRPr="0089006E">
        <w:rPr>
          <w:rFonts w:asciiTheme="minorHAnsi" w:hAnsiTheme="minorHAnsi" w:cstheme="minorHAnsi"/>
          <w:color w:val="000000"/>
          <w:szCs w:val="24"/>
        </w:rPr>
        <w:t> </w:t>
      </w:r>
      <w:r w:rsidRPr="0089006E">
        <w:rPr>
          <w:rFonts w:asciiTheme="minorHAnsi" w:hAnsiTheme="minorHAnsi" w:cstheme="minorHAnsi"/>
          <w:b/>
          <w:bCs/>
          <w:color w:val="000000"/>
          <w:szCs w:val="24"/>
        </w:rPr>
        <w:t>KOPIA DECYZJI O USTALENIU LOKALIZACJI INWESTYCJI CELU PUBLICZNEGO</w:t>
      </w:r>
    </w:p>
    <w:p w14:paraId="411067B8" w14:textId="77777777" w:rsidR="00D45E5D" w:rsidRPr="0089006E" w:rsidRDefault="00D45E5D" w:rsidP="00D45E5D">
      <w:pPr>
        <w:spacing w:before="120" w:after="120" w:line="276" w:lineRule="auto"/>
        <w:ind w:firstLine="705"/>
        <w:rPr>
          <w:rFonts w:asciiTheme="minorHAnsi" w:hAnsiTheme="minorHAnsi" w:cstheme="minorHAnsi"/>
          <w:color w:val="000000"/>
          <w:szCs w:val="24"/>
        </w:rPr>
      </w:pPr>
      <w:r w:rsidRPr="0089006E">
        <w:rPr>
          <w:rFonts w:asciiTheme="minorHAnsi" w:hAnsiTheme="minorHAnsi" w:cstheme="minorHAnsi"/>
          <w:color w:val="000000"/>
          <w:szCs w:val="24"/>
        </w:rPr>
        <w:t>Dokument ten jest sporządzany w przypadku braku miejscowego planu zagospodarowania przestrzennego </w:t>
      </w:r>
      <w:r w:rsidRPr="0089006E">
        <w:rPr>
          <w:rFonts w:asciiTheme="minorHAnsi" w:hAnsiTheme="minorHAnsi" w:cstheme="minorHAnsi"/>
          <w:b/>
          <w:bCs/>
          <w:color w:val="000000"/>
          <w:szCs w:val="24"/>
        </w:rPr>
        <w:t>dla tych projektów</w:t>
      </w:r>
      <w:r w:rsidRPr="0089006E">
        <w:rPr>
          <w:rFonts w:asciiTheme="minorHAnsi" w:hAnsiTheme="minorHAnsi" w:cstheme="minorHAnsi"/>
          <w:color w:val="000000"/>
          <w:szCs w:val="24"/>
        </w:rPr>
        <w:t>, dla których jest on wymagany </w:t>
      </w:r>
      <w:r w:rsidRPr="0089006E">
        <w:rPr>
          <w:rFonts w:asciiTheme="minorHAnsi" w:hAnsiTheme="minorHAnsi" w:cstheme="minorHAnsi"/>
          <w:b/>
          <w:bCs/>
          <w:color w:val="000000"/>
          <w:szCs w:val="24"/>
        </w:rPr>
        <w:t xml:space="preserve">zgodnie z przepisami art. 50 ustawy z dnia 27 marca 2003 r. o planowaniu </w:t>
      </w:r>
      <w:r w:rsidRPr="0089006E">
        <w:rPr>
          <w:rFonts w:asciiTheme="minorHAnsi" w:hAnsiTheme="minorHAnsi" w:cstheme="minorHAnsi"/>
          <w:b/>
          <w:bCs/>
          <w:color w:val="000000"/>
          <w:szCs w:val="24"/>
        </w:rPr>
        <w:br/>
        <w:t>i zagospodarowaniu przestrzennym</w:t>
      </w:r>
      <w:r w:rsidRPr="0089006E">
        <w:rPr>
          <w:rFonts w:asciiTheme="minorHAnsi" w:hAnsiTheme="minorHAnsi" w:cstheme="minorHAnsi"/>
          <w:color w:val="000000"/>
          <w:szCs w:val="24"/>
        </w:rPr>
        <w:t> (</w:t>
      </w:r>
      <w:proofErr w:type="spellStart"/>
      <w:r w:rsidRPr="0089006E">
        <w:rPr>
          <w:rFonts w:asciiTheme="minorHAnsi" w:hAnsiTheme="minorHAnsi" w:cstheme="minorHAnsi"/>
          <w:color w:val="333333"/>
          <w:szCs w:val="24"/>
          <w:shd w:val="clear" w:color="auto" w:fill="FFFFFF"/>
        </w:rPr>
        <w:t>t.j</w:t>
      </w:r>
      <w:proofErr w:type="spellEnd"/>
      <w:r w:rsidRPr="0089006E">
        <w:rPr>
          <w:rFonts w:asciiTheme="minorHAnsi" w:hAnsiTheme="minorHAnsi" w:cstheme="minorHAnsi"/>
          <w:color w:val="333333"/>
          <w:szCs w:val="24"/>
          <w:shd w:val="clear" w:color="auto" w:fill="FFFFFF"/>
        </w:rPr>
        <w:t>. Dz. U. z 202</w:t>
      </w:r>
      <w:r>
        <w:rPr>
          <w:rFonts w:asciiTheme="minorHAnsi" w:hAnsiTheme="minorHAnsi" w:cstheme="minorHAnsi"/>
          <w:color w:val="333333"/>
          <w:szCs w:val="24"/>
          <w:shd w:val="clear" w:color="auto" w:fill="FFFFFF"/>
        </w:rPr>
        <w:t>3</w:t>
      </w:r>
      <w:r w:rsidRPr="0089006E">
        <w:rPr>
          <w:rFonts w:asciiTheme="minorHAnsi" w:hAnsiTheme="minorHAnsi" w:cstheme="minorHAnsi"/>
          <w:color w:val="333333"/>
          <w:szCs w:val="24"/>
          <w:shd w:val="clear" w:color="auto" w:fill="FFFFFF"/>
        </w:rPr>
        <w:t xml:space="preserve"> r.</w:t>
      </w:r>
      <w:r>
        <w:rPr>
          <w:rFonts w:asciiTheme="minorHAnsi" w:hAnsiTheme="minorHAnsi" w:cstheme="minorHAnsi"/>
          <w:color w:val="333333"/>
          <w:szCs w:val="24"/>
          <w:shd w:val="clear" w:color="auto" w:fill="FFFFFF"/>
        </w:rPr>
        <w:t>,</w:t>
      </w:r>
      <w:r w:rsidRPr="0089006E">
        <w:rPr>
          <w:rFonts w:asciiTheme="minorHAnsi" w:hAnsiTheme="minorHAnsi" w:cstheme="minorHAnsi"/>
          <w:color w:val="333333"/>
          <w:szCs w:val="24"/>
          <w:shd w:val="clear" w:color="auto" w:fill="FFFFFF"/>
        </w:rPr>
        <w:t xml:space="preserve"> poz. </w:t>
      </w:r>
      <w:r>
        <w:rPr>
          <w:rFonts w:asciiTheme="minorHAnsi" w:hAnsiTheme="minorHAnsi" w:cstheme="minorHAnsi"/>
          <w:color w:val="333333"/>
          <w:szCs w:val="24"/>
          <w:shd w:val="clear" w:color="auto" w:fill="FFFFFF"/>
        </w:rPr>
        <w:t>977 ze zm.</w:t>
      </w:r>
      <w:r w:rsidRPr="0089006E">
        <w:rPr>
          <w:rFonts w:asciiTheme="minorHAnsi" w:hAnsiTheme="minorHAnsi" w:cstheme="minorHAnsi"/>
          <w:color w:val="000000"/>
          <w:szCs w:val="24"/>
        </w:rPr>
        <w:t>). </w:t>
      </w:r>
    </w:p>
    <w:p w14:paraId="2D67C208" w14:textId="77777777" w:rsidR="00D45E5D" w:rsidRPr="0089006E" w:rsidRDefault="00D45E5D" w:rsidP="00D45E5D">
      <w:pPr>
        <w:spacing w:before="360" w:after="120" w:line="276" w:lineRule="auto"/>
        <w:ind w:left="720" w:hanging="720"/>
        <w:rPr>
          <w:rFonts w:asciiTheme="minorHAnsi" w:hAnsiTheme="minorHAnsi" w:cstheme="minorHAnsi"/>
          <w:color w:val="000000"/>
          <w:szCs w:val="24"/>
        </w:rPr>
      </w:pPr>
      <w:r w:rsidRPr="0089006E">
        <w:rPr>
          <w:rFonts w:asciiTheme="minorHAnsi" w:hAnsiTheme="minorHAnsi" w:cstheme="minorHAnsi"/>
          <w:b/>
          <w:bCs/>
          <w:color w:val="000000"/>
          <w:szCs w:val="24"/>
        </w:rPr>
        <w:t>3.2.3 KOPIA DECYZJI O WARUNKACH ZABUDOWY I ZAGOSPODAROWANIA TERENU</w:t>
      </w:r>
    </w:p>
    <w:p w14:paraId="008B6BA0" w14:textId="77777777" w:rsidR="00D45E5D" w:rsidRPr="0089006E" w:rsidRDefault="00D45E5D" w:rsidP="00D45E5D">
      <w:pPr>
        <w:spacing w:before="120" w:after="120" w:line="276" w:lineRule="auto"/>
        <w:ind w:firstLine="709"/>
        <w:rPr>
          <w:rFonts w:asciiTheme="minorHAnsi" w:hAnsiTheme="minorHAnsi" w:cstheme="minorHAnsi"/>
          <w:color w:val="000000"/>
          <w:szCs w:val="24"/>
        </w:rPr>
      </w:pPr>
      <w:r w:rsidRPr="0089006E">
        <w:rPr>
          <w:rFonts w:asciiTheme="minorHAnsi" w:hAnsiTheme="minorHAnsi" w:cstheme="minorHAnsi"/>
          <w:color w:val="000000"/>
          <w:szCs w:val="24"/>
        </w:rPr>
        <w:t>Dokument ten jest sporządzany w przypadku braku miejscowego planu zagospodarowania przestrzennego </w:t>
      </w:r>
      <w:r w:rsidRPr="0089006E">
        <w:rPr>
          <w:rFonts w:asciiTheme="minorHAnsi" w:hAnsiTheme="minorHAnsi" w:cstheme="minorHAnsi"/>
          <w:b/>
          <w:bCs/>
          <w:color w:val="000000"/>
          <w:szCs w:val="24"/>
        </w:rPr>
        <w:t>dla tych projektów</w:t>
      </w:r>
      <w:r w:rsidRPr="0089006E">
        <w:rPr>
          <w:rFonts w:asciiTheme="minorHAnsi" w:hAnsiTheme="minorHAnsi" w:cstheme="minorHAnsi"/>
          <w:color w:val="000000"/>
          <w:szCs w:val="24"/>
        </w:rPr>
        <w:t xml:space="preserve">, dla których jest on wymagany </w:t>
      </w:r>
      <w:r w:rsidRPr="0089006E">
        <w:rPr>
          <w:rFonts w:asciiTheme="minorHAnsi" w:hAnsiTheme="minorHAnsi" w:cstheme="minorHAnsi"/>
          <w:b/>
          <w:bCs/>
          <w:color w:val="000000"/>
          <w:szCs w:val="24"/>
        </w:rPr>
        <w:lastRenderedPageBreak/>
        <w:t>zgodnie z art. 59 ustawy z dnia 27 marca 2003 r. o planowaniu i zagospodarowaniu przestrzennym</w:t>
      </w:r>
      <w:r w:rsidRPr="0089006E">
        <w:rPr>
          <w:rFonts w:asciiTheme="minorHAnsi" w:hAnsiTheme="minorHAnsi" w:cstheme="minorHAnsi"/>
          <w:color w:val="000000"/>
          <w:szCs w:val="24"/>
        </w:rPr>
        <w:t xml:space="preserve"> (</w:t>
      </w:r>
      <w:proofErr w:type="spellStart"/>
      <w:r w:rsidRPr="0089006E">
        <w:rPr>
          <w:rFonts w:asciiTheme="minorHAnsi" w:hAnsiTheme="minorHAnsi" w:cstheme="minorHAnsi"/>
          <w:color w:val="333333"/>
          <w:szCs w:val="24"/>
          <w:shd w:val="clear" w:color="auto" w:fill="FFFFFF"/>
        </w:rPr>
        <w:t>t.j</w:t>
      </w:r>
      <w:proofErr w:type="spellEnd"/>
      <w:r w:rsidRPr="0089006E">
        <w:rPr>
          <w:rFonts w:asciiTheme="minorHAnsi" w:hAnsiTheme="minorHAnsi" w:cstheme="minorHAnsi"/>
          <w:color w:val="333333"/>
          <w:szCs w:val="24"/>
          <w:shd w:val="clear" w:color="auto" w:fill="FFFFFF"/>
        </w:rPr>
        <w:t>. Dz. U. z 202</w:t>
      </w:r>
      <w:r>
        <w:rPr>
          <w:rFonts w:asciiTheme="minorHAnsi" w:hAnsiTheme="minorHAnsi" w:cstheme="minorHAnsi"/>
          <w:color w:val="333333"/>
          <w:szCs w:val="24"/>
          <w:shd w:val="clear" w:color="auto" w:fill="FFFFFF"/>
        </w:rPr>
        <w:t>3</w:t>
      </w:r>
      <w:r w:rsidRPr="0089006E">
        <w:rPr>
          <w:rFonts w:asciiTheme="minorHAnsi" w:hAnsiTheme="minorHAnsi" w:cstheme="minorHAnsi"/>
          <w:color w:val="333333"/>
          <w:szCs w:val="24"/>
          <w:shd w:val="clear" w:color="auto" w:fill="FFFFFF"/>
        </w:rPr>
        <w:t xml:space="preserve"> r. poz. </w:t>
      </w:r>
      <w:r>
        <w:rPr>
          <w:rFonts w:asciiTheme="minorHAnsi" w:hAnsiTheme="minorHAnsi" w:cstheme="minorHAnsi"/>
          <w:color w:val="333333"/>
          <w:szCs w:val="24"/>
          <w:shd w:val="clear" w:color="auto" w:fill="FFFFFF"/>
        </w:rPr>
        <w:t>977 ze zm.</w:t>
      </w:r>
      <w:r w:rsidRPr="0089006E">
        <w:rPr>
          <w:rFonts w:asciiTheme="minorHAnsi" w:hAnsiTheme="minorHAnsi" w:cstheme="minorHAnsi"/>
          <w:color w:val="000000"/>
          <w:szCs w:val="24"/>
        </w:rPr>
        <w:t>).</w:t>
      </w:r>
    </w:p>
    <w:p w14:paraId="7FAC8DDF" w14:textId="77777777" w:rsidR="00D45E5D" w:rsidRPr="0089006E" w:rsidRDefault="00D45E5D" w:rsidP="00D45E5D">
      <w:pPr>
        <w:spacing w:before="120" w:after="120" w:line="276" w:lineRule="auto"/>
        <w:rPr>
          <w:rFonts w:ascii="Calibri" w:hAnsi="Calibri"/>
          <w:szCs w:val="24"/>
        </w:rPr>
      </w:pPr>
    </w:p>
    <w:p w14:paraId="19CB9F6C" w14:textId="77777777" w:rsidR="00D45E5D" w:rsidRPr="0089006E" w:rsidRDefault="00D45E5D" w:rsidP="00D45E5D">
      <w:pPr>
        <w:keepNext/>
        <w:numPr>
          <w:ilvl w:val="0"/>
          <w:numId w:val="6"/>
        </w:numPr>
        <w:tabs>
          <w:tab w:val="clear" w:pos="360"/>
          <w:tab w:val="num" w:pos="284"/>
        </w:tabs>
        <w:suppressAutoHyphens w:val="0"/>
        <w:spacing w:before="120" w:after="120" w:line="276" w:lineRule="auto"/>
        <w:ind w:left="284" w:hanging="284"/>
        <w:outlineLvl w:val="2"/>
        <w:rPr>
          <w:rFonts w:ascii="Calibri" w:hAnsi="Calibri"/>
          <w:b/>
          <w:bCs/>
          <w:sz w:val="28"/>
          <w:szCs w:val="28"/>
        </w:rPr>
      </w:pPr>
      <w:bookmarkStart w:id="117" w:name="_Toc477857442"/>
      <w:bookmarkStart w:id="118" w:name="_Toc54688945"/>
      <w:bookmarkStart w:id="119" w:name="_Toc156890154"/>
      <w:bookmarkStart w:id="120" w:name="_Toc184900803"/>
      <w:r w:rsidRPr="0089006E">
        <w:rPr>
          <w:rFonts w:ascii="Calibri" w:hAnsi="Calibri"/>
          <w:b/>
          <w:bCs/>
          <w:sz w:val="28"/>
          <w:szCs w:val="28"/>
        </w:rPr>
        <w:t>WYCIĄG Z DOKUMENTACJI TECHNICZNEJ LUB PROGRAM FUNKCJONALNO-UŻYTKOWY</w:t>
      </w:r>
      <w:bookmarkEnd w:id="117"/>
      <w:bookmarkEnd w:id="118"/>
      <w:bookmarkEnd w:id="119"/>
      <w:bookmarkEnd w:id="120"/>
    </w:p>
    <w:p w14:paraId="33AFB78B" w14:textId="77777777" w:rsidR="00D45E5D" w:rsidRPr="0089006E" w:rsidRDefault="00D45E5D" w:rsidP="00D45E5D">
      <w:pPr>
        <w:spacing w:before="120" w:after="120" w:line="276" w:lineRule="auto"/>
        <w:ind w:firstLine="709"/>
        <w:rPr>
          <w:rFonts w:ascii="Calibri" w:hAnsi="Calibri"/>
          <w:szCs w:val="24"/>
        </w:rPr>
      </w:pPr>
      <w:r>
        <w:rPr>
          <w:rFonts w:ascii="Calibri" w:hAnsi="Calibri"/>
          <w:szCs w:val="24"/>
        </w:rPr>
        <w:t>Dla projektów obejmujących swoim zakresem wykonanie robót budowlanych w rozumieniu ustawy Prawo budowlane j</w:t>
      </w:r>
      <w:r w:rsidRPr="0089006E">
        <w:rPr>
          <w:rFonts w:ascii="Calibri" w:hAnsi="Calibri"/>
          <w:szCs w:val="24"/>
        </w:rPr>
        <w:t xml:space="preserve">ako jeden z wymaganych załączników wnioskodawca zobowiązany jest dostarczyć </w:t>
      </w:r>
      <w:r w:rsidRPr="0089006E">
        <w:rPr>
          <w:rFonts w:ascii="Calibri" w:hAnsi="Calibri"/>
          <w:b/>
          <w:szCs w:val="24"/>
        </w:rPr>
        <w:t>metrykę projektu budowlanego</w:t>
      </w:r>
      <w:r w:rsidRPr="0089006E">
        <w:rPr>
          <w:rFonts w:ascii="Calibri" w:hAnsi="Calibri"/>
          <w:szCs w:val="24"/>
        </w:rPr>
        <w:t xml:space="preserve"> </w:t>
      </w:r>
      <w:r w:rsidRPr="0089006E">
        <w:rPr>
          <w:rFonts w:ascii="Calibri" w:hAnsi="Calibri"/>
          <w:b/>
          <w:szCs w:val="24"/>
        </w:rPr>
        <w:t>oraz wyciąg z opisu technicznego</w:t>
      </w:r>
      <w:r w:rsidRPr="0089006E">
        <w:rPr>
          <w:rFonts w:ascii="Calibri" w:hAnsi="Calibri"/>
          <w:szCs w:val="24"/>
        </w:rPr>
        <w:t xml:space="preserve"> zawartego </w:t>
      </w:r>
      <w:r w:rsidRPr="0089006E">
        <w:rPr>
          <w:rFonts w:ascii="Calibri" w:hAnsi="Calibri"/>
          <w:szCs w:val="24"/>
        </w:rPr>
        <w:br/>
        <w:t>w dokumentacji technicznej. Dokumenty te pozwalają na weryfikację poprawności wybranych wskaźników produktu.</w:t>
      </w:r>
      <w:r w:rsidRPr="0089006E">
        <w:rPr>
          <w:rFonts w:ascii="Calibri" w:hAnsi="Calibri"/>
          <w:b/>
          <w:szCs w:val="24"/>
          <w:u w:val="single"/>
        </w:rPr>
        <w:t xml:space="preserve"> Metryka projektu budowlanego</w:t>
      </w:r>
      <w:r w:rsidRPr="0089006E">
        <w:rPr>
          <w:rFonts w:ascii="Calibri" w:hAnsi="Calibri"/>
          <w:szCs w:val="24"/>
        </w:rPr>
        <w:t xml:space="preserve"> powinna zawierać:</w:t>
      </w:r>
    </w:p>
    <w:p w14:paraId="77212A02" w14:textId="77777777" w:rsidR="00D45E5D" w:rsidRPr="0089006E" w:rsidRDefault="00D45E5D" w:rsidP="00D45E5D">
      <w:pPr>
        <w:numPr>
          <w:ilvl w:val="1"/>
          <w:numId w:val="3"/>
        </w:numPr>
        <w:tabs>
          <w:tab w:val="clear" w:pos="1440"/>
          <w:tab w:val="num" w:pos="709"/>
        </w:tabs>
        <w:suppressAutoHyphens w:val="0"/>
        <w:spacing w:before="120" w:after="120" w:line="276" w:lineRule="auto"/>
        <w:ind w:left="720"/>
        <w:rPr>
          <w:rFonts w:ascii="Calibri" w:hAnsi="Calibri"/>
          <w:szCs w:val="24"/>
        </w:rPr>
      </w:pPr>
      <w:r w:rsidRPr="0089006E">
        <w:rPr>
          <w:rFonts w:ascii="Calibri" w:hAnsi="Calibri"/>
          <w:szCs w:val="24"/>
        </w:rPr>
        <w:t xml:space="preserve">numery tomów dokumentacji, </w:t>
      </w:r>
    </w:p>
    <w:p w14:paraId="4E5578C0" w14:textId="77777777" w:rsidR="00D45E5D" w:rsidRPr="0089006E" w:rsidRDefault="00D45E5D" w:rsidP="00D45E5D">
      <w:pPr>
        <w:numPr>
          <w:ilvl w:val="1"/>
          <w:numId w:val="3"/>
        </w:numPr>
        <w:tabs>
          <w:tab w:val="clear" w:pos="1440"/>
          <w:tab w:val="num" w:pos="709"/>
        </w:tabs>
        <w:suppressAutoHyphens w:val="0"/>
        <w:spacing w:before="120" w:after="120" w:line="276" w:lineRule="auto"/>
        <w:ind w:left="720"/>
        <w:rPr>
          <w:rFonts w:ascii="Calibri" w:hAnsi="Calibri"/>
          <w:szCs w:val="24"/>
        </w:rPr>
      </w:pPr>
      <w:r w:rsidRPr="0089006E">
        <w:rPr>
          <w:rFonts w:ascii="Calibri" w:hAnsi="Calibri"/>
          <w:szCs w:val="24"/>
        </w:rPr>
        <w:t xml:space="preserve">tytuły opracowań, </w:t>
      </w:r>
    </w:p>
    <w:p w14:paraId="4006387D" w14:textId="77777777" w:rsidR="00D45E5D" w:rsidRPr="0089006E" w:rsidRDefault="00D45E5D" w:rsidP="00D45E5D">
      <w:pPr>
        <w:numPr>
          <w:ilvl w:val="1"/>
          <w:numId w:val="3"/>
        </w:numPr>
        <w:tabs>
          <w:tab w:val="clear" w:pos="1440"/>
          <w:tab w:val="num" w:pos="709"/>
        </w:tabs>
        <w:suppressAutoHyphens w:val="0"/>
        <w:spacing w:before="120" w:after="120" w:line="276" w:lineRule="auto"/>
        <w:ind w:left="720"/>
        <w:rPr>
          <w:rFonts w:ascii="Calibri" w:hAnsi="Calibri"/>
          <w:szCs w:val="24"/>
        </w:rPr>
      </w:pPr>
      <w:r w:rsidRPr="0089006E">
        <w:rPr>
          <w:rFonts w:ascii="Calibri" w:hAnsi="Calibri"/>
          <w:szCs w:val="24"/>
        </w:rPr>
        <w:t xml:space="preserve">nazwiska autorów opracowań wraz z numerami ich uprawnień. </w:t>
      </w:r>
    </w:p>
    <w:p w14:paraId="49B1EBFA" w14:textId="77777777" w:rsidR="00D45E5D" w:rsidRPr="0089006E" w:rsidRDefault="00D45E5D" w:rsidP="00D45E5D">
      <w:pPr>
        <w:numPr>
          <w:ilvl w:val="1"/>
          <w:numId w:val="3"/>
        </w:numPr>
        <w:tabs>
          <w:tab w:val="clear" w:pos="1440"/>
          <w:tab w:val="num" w:pos="709"/>
        </w:tabs>
        <w:suppressAutoHyphens w:val="0"/>
        <w:spacing w:before="120" w:after="120" w:line="276" w:lineRule="auto"/>
        <w:ind w:left="720"/>
        <w:rPr>
          <w:rFonts w:ascii="Calibri" w:hAnsi="Calibri"/>
          <w:szCs w:val="24"/>
        </w:rPr>
      </w:pPr>
      <w:r w:rsidRPr="0089006E">
        <w:rPr>
          <w:rFonts w:ascii="Calibri" w:hAnsi="Calibri"/>
          <w:szCs w:val="24"/>
        </w:rPr>
        <w:t>opis techniczny (skrót).</w:t>
      </w:r>
    </w:p>
    <w:p w14:paraId="49B6A41F" w14:textId="77777777" w:rsidR="00D45E5D" w:rsidRPr="0089006E" w:rsidRDefault="00D45E5D" w:rsidP="00D45E5D">
      <w:pPr>
        <w:spacing w:before="120" w:after="120" w:line="276" w:lineRule="auto"/>
        <w:ind w:firstLine="709"/>
        <w:rPr>
          <w:rFonts w:ascii="Calibri" w:hAnsi="Calibri"/>
          <w:szCs w:val="24"/>
        </w:rPr>
      </w:pPr>
      <w:r w:rsidRPr="0089006E">
        <w:rPr>
          <w:rFonts w:ascii="Calibri" w:hAnsi="Calibri"/>
          <w:szCs w:val="24"/>
        </w:rPr>
        <w:t xml:space="preserve">Ponadto na żądanie IZ </w:t>
      </w:r>
      <w:r>
        <w:rPr>
          <w:rFonts w:ascii="Calibri" w:hAnsi="Calibri"/>
          <w:szCs w:val="24"/>
        </w:rPr>
        <w:t>FEO 2021-2027</w:t>
      </w:r>
      <w:r w:rsidRPr="0089006E">
        <w:rPr>
          <w:rFonts w:ascii="Calibri" w:hAnsi="Calibri"/>
          <w:szCs w:val="24"/>
        </w:rPr>
        <w:t xml:space="preserve"> wnioskodawca zobowiązany jest dostarczyć pełną dokumentację techniczną projektu.</w:t>
      </w:r>
    </w:p>
    <w:p w14:paraId="7EC30BFB" w14:textId="77777777" w:rsidR="00D45E5D" w:rsidRPr="0089006E" w:rsidRDefault="00D45E5D" w:rsidP="00D45E5D">
      <w:pPr>
        <w:spacing w:before="120" w:after="120" w:line="276" w:lineRule="auto"/>
        <w:ind w:firstLine="709"/>
        <w:rPr>
          <w:rFonts w:ascii="Calibri" w:hAnsi="Calibri"/>
          <w:szCs w:val="24"/>
        </w:rPr>
      </w:pPr>
    </w:p>
    <w:p w14:paraId="1BAF8A68" w14:textId="77777777" w:rsidR="00D45E5D" w:rsidRPr="0089006E" w:rsidRDefault="00D45E5D" w:rsidP="00D45E5D">
      <w:pPr>
        <w:spacing w:before="120" w:after="120" w:line="276" w:lineRule="auto"/>
        <w:rPr>
          <w:rFonts w:ascii="Calibri" w:hAnsi="Calibri"/>
          <w:b/>
          <w:szCs w:val="24"/>
          <w:u w:val="single"/>
        </w:rPr>
      </w:pPr>
      <w:r w:rsidRPr="0089006E">
        <w:rPr>
          <w:rFonts w:ascii="Calibri" w:hAnsi="Calibri"/>
          <w:b/>
          <w:szCs w:val="24"/>
          <w:u w:val="single"/>
        </w:rPr>
        <w:t xml:space="preserve">Projekty </w:t>
      </w:r>
      <w:r>
        <w:rPr>
          <w:rFonts w:ascii="Calibri" w:hAnsi="Calibri"/>
          <w:b/>
          <w:szCs w:val="24"/>
          <w:u w:val="single"/>
        </w:rPr>
        <w:t xml:space="preserve">realizowane w formule zaprojektuj i wybuduj na podstawie </w:t>
      </w:r>
      <w:r w:rsidRPr="0089006E">
        <w:rPr>
          <w:rFonts w:ascii="Calibri" w:hAnsi="Calibri"/>
          <w:b/>
          <w:szCs w:val="24"/>
          <w:u w:val="single"/>
        </w:rPr>
        <w:t>program</w:t>
      </w:r>
      <w:r>
        <w:rPr>
          <w:rFonts w:ascii="Calibri" w:hAnsi="Calibri"/>
          <w:b/>
          <w:szCs w:val="24"/>
          <w:u w:val="single"/>
        </w:rPr>
        <w:t>u</w:t>
      </w:r>
      <w:r w:rsidRPr="0089006E">
        <w:rPr>
          <w:rFonts w:ascii="Calibri" w:hAnsi="Calibri"/>
          <w:b/>
          <w:szCs w:val="24"/>
          <w:u w:val="single"/>
        </w:rPr>
        <w:t xml:space="preserve"> funkcjonalno-użytkow</w:t>
      </w:r>
      <w:r>
        <w:rPr>
          <w:rFonts w:ascii="Calibri" w:hAnsi="Calibri"/>
          <w:b/>
          <w:szCs w:val="24"/>
          <w:u w:val="single"/>
        </w:rPr>
        <w:t>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D45E5D" w:rsidRPr="004B77D6" w14:paraId="731CDAC2" w14:textId="77777777" w:rsidTr="00197C13">
        <w:tc>
          <w:tcPr>
            <w:tcW w:w="9055" w:type="dxa"/>
          </w:tcPr>
          <w:p w14:paraId="385D72C0" w14:textId="77777777" w:rsidR="00D45E5D" w:rsidRDefault="00D45E5D" w:rsidP="00197C13">
            <w:pPr>
              <w:pStyle w:val="NormalnyWeb"/>
              <w:spacing w:before="0" w:beforeAutospacing="0" w:after="60" w:afterAutospacing="0"/>
              <w:rPr>
                <w:rFonts w:ascii="Calibri" w:hAnsi="Calibri" w:cs="Times New Roman"/>
                <w:color w:val="auto"/>
                <w:szCs w:val="22"/>
              </w:rPr>
            </w:pPr>
            <w:bookmarkStart w:id="121" w:name="_Hlk129941131"/>
            <w:r w:rsidRPr="00A5756A">
              <w:rPr>
                <w:rFonts w:ascii="Calibri" w:hAnsi="Calibri" w:cs="Times New Roman"/>
                <w:color w:val="auto"/>
                <w:szCs w:val="22"/>
              </w:rPr>
              <w:t>Procedura taka jest bardzo wygodnym sposobem realizacji inwestycji poniewa</w:t>
            </w:r>
            <w:r>
              <w:rPr>
                <w:rFonts w:ascii="Calibri" w:hAnsi="Calibri" w:cs="Times New Roman"/>
                <w:color w:val="auto"/>
                <w:szCs w:val="22"/>
              </w:rPr>
              <w:t xml:space="preserve">ż umożliwia składanie wniosków </w:t>
            </w:r>
            <w:r w:rsidRPr="00A5756A">
              <w:rPr>
                <w:rFonts w:ascii="Calibri" w:hAnsi="Calibri" w:cs="Times New Roman"/>
                <w:color w:val="auto"/>
                <w:szCs w:val="22"/>
              </w:rPr>
              <w:t>o dofinansowanie projektów oraz podpisywanie umów o dofinansowanie projektów tylko w oparciu o program funkcjonalno-użytkowy oraz koncepcję projektu, bez konieczności posiadania pełnej dokumentacji technicznej oraz pozwolenia na budowę</w:t>
            </w:r>
            <w:r>
              <w:rPr>
                <w:rFonts w:ascii="Calibri" w:hAnsi="Calibri" w:cs="Times New Roman"/>
                <w:color w:val="auto"/>
                <w:szCs w:val="22"/>
              </w:rPr>
              <w:t xml:space="preserve"> bądź zgłoszenia</w:t>
            </w:r>
            <w:r w:rsidRPr="00A5756A">
              <w:rPr>
                <w:rFonts w:ascii="Calibri" w:hAnsi="Calibri" w:cs="Times New Roman"/>
                <w:color w:val="auto"/>
                <w:szCs w:val="22"/>
              </w:rPr>
              <w:t>.</w:t>
            </w:r>
            <w:r>
              <w:rPr>
                <w:rFonts w:ascii="Calibri" w:hAnsi="Calibri" w:cs="Times New Roman"/>
                <w:color w:val="auto"/>
                <w:szCs w:val="22"/>
              </w:rPr>
              <w:t xml:space="preserve"> </w:t>
            </w:r>
          </w:p>
          <w:p w14:paraId="740807B7" w14:textId="77777777" w:rsidR="00D45E5D" w:rsidRPr="0064104A" w:rsidRDefault="00D45E5D" w:rsidP="00197C13">
            <w:pPr>
              <w:pStyle w:val="NormalnyWeb"/>
              <w:spacing w:before="120" w:beforeAutospacing="0"/>
              <w:rPr>
                <w:rFonts w:ascii="Calibri" w:hAnsi="Calibri" w:cs="Times New Roman"/>
                <w:color w:val="auto"/>
                <w:szCs w:val="22"/>
              </w:rPr>
            </w:pPr>
            <w:r w:rsidRPr="0089006E">
              <w:rPr>
                <w:rFonts w:ascii="Calibri" w:hAnsi="Calibri"/>
              </w:rPr>
              <w:t xml:space="preserve">W przypadku, gdy wnioskodawca zdecyduje się realizować projekt </w:t>
            </w:r>
            <w:r>
              <w:rPr>
                <w:rFonts w:ascii="Calibri" w:hAnsi="Calibri"/>
              </w:rPr>
              <w:t xml:space="preserve">w formule zaprojektuj i wybuduj na podstawie </w:t>
            </w:r>
            <w:r w:rsidRPr="0089006E">
              <w:rPr>
                <w:rFonts w:ascii="Calibri" w:hAnsi="Calibri"/>
              </w:rPr>
              <w:t xml:space="preserve"> program</w:t>
            </w:r>
            <w:r>
              <w:rPr>
                <w:rFonts w:ascii="Calibri" w:hAnsi="Calibri"/>
              </w:rPr>
              <w:t>u</w:t>
            </w:r>
            <w:r w:rsidRPr="0089006E">
              <w:rPr>
                <w:rFonts w:ascii="Calibri" w:hAnsi="Calibri"/>
              </w:rPr>
              <w:t xml:space="preserve"> funkcjonalno-użytkow</w:t>
            </w:r>
            <w:r>
              <w:rPr>
                <w:rFonts w:ascii="Calibri" w:hAnsi="Calibri"/>
              </w:rPr>
              <w:t>ego,</w:t>
            </w:r>
            <w:r w:rsidRPr="0089006E">
              <w:rPr>
                <w:rFonts w:ascii="Calibri" w:hAnsi="Calibri"/>
              </w:rPr>
              <w:t xml:space="preserve"> obowiązek przygotowania projektów wykonawczych, zgłoszenia prac i uzyskania prawomocnych pozwoleń dla takich projektów spoczywa na wykonawcy wyłonionym do realizacji zadania w ramach projektu.</w:t>
            </w:r>
          </w:p>
        </w:tc>
      </w:tr>
    </w:tbl>
    <w:bookmarkEnd w:id="121"/>
    <w:p w14:paraId="3501383E" w14:textId="77777777" w:rsidR="00D45E5D" w:rsidRDefault="00D45E5D" w:rsidP="00D45E5D">
      <w:pPr>
        <w:tabs>
          <w:tab w:val="left" w:pos="709"/>
          <w:tab w:val="left" w:pos="9070"/>
        </w:tabs>
        <w:autoSpaceDE w:val="0"/>
        <w:autoSpaceDN w:val="0"/>
        <w:adjustRightInd w:val="0"/>
        <w:spacing w:before="120" w:after="120" w:line="276" w:lineRule="auto"/>
        <w:rPr>
          <w:rFonts w:ascii="Calibri" w:hAnsi="Calibri"/>
          <w:szCs w:val="24"/>
        </w:rPr>
      </w:pPr>
      <w:r w:rsidRPr="0089006E">
        <w:rPr>
          <w:rFonts w:ascii="Calibri" w:hAnsi="Calibri"/>
          <w:szCs w:val="24"/>
        </w:rPr>
        <w:tab/>
      </w:r>
    </w:p>
    <w:p w14:paraId="0AD76E6E" w14:textId="77777777" w:rsidR="00D45E5D" w:rsidRDefault="00D45E5D" w:rsidP="00D45E5D">
      <w:pPr>
        <w:tabs>
          <w:tab w:val="left" w:pos="709"/>
          <w:tab w:val="left" w:pos="9070"/>
        </w:tabs>
        <w:autoSpaceDE w:val="0"/>
        <w:autoSpaceDN w:val="0"/>
        <w:adjustRightInd w:val="0"/>
        <w:spacing w:before="120" w:after="120" w:line="276" w:lineRule="auto"/>
        <w:rPr>
          <w:rFonts w:ascii="Calibri" w:hAnsi="Calibri"/>
        </w:rPr>
      </w:pPr>
      <w:r>
        <w:rPr>
          <w:rFonts w:ascii="Calibri" w:hAnsi="Calibri"/>
        </w:rPr>
        <w:t xml:space="preserve">W sytuacji realizacji projektu w formule zaprojektuj i wybuduj </w:t>
      </w:r>
      <w:r w:rsidRPr="0089006E">
        <w:rPr>
          <w:rFonts w:ascii="Calibri" w:hAnsi="Calibri"/>
        </w:rPr>
        <w:t xml:space="preserve"> do wniosku o</w:t>
      </w:r>
      <w:r>
        <w:rPr>
          <w:rFonts w:ascii="Calibri" w:hAnsi="Calibri"/>
        </w:rPr>
        <w:t> </w:t>
      </w:r>
      <w:r w:rsidRPr="0089006E">
        <w:rPr>
          <w:rFonts w:ascii="Calibri" w:hAnsi="Calibri"/>
        </w:rPr>
        <w:t xml:space="preserve">dofinansowanie </w:t>
      </w:r>
      <w:r>
        <w:rPr>
          <w:rFonts w:ascii="Calibri" w:hAnsi="Calibri"/>
        </w:rPr>
        <w:t xml:space="preserve">obowiązkowe jest załączenie </w:t>
      </w:r>
      <w:r w:rsidRPr="0089006E">
        <w:rPr>
          <w:rFonts w:ascii="Calibri" w:hAnsi="Calibri"/>
          <w:b/>
        </w:rPr>
        <w:t>programu funkcjonalno-użytkowego</w:t>
      </w:r>
      <w:r w:rsidRPr="0089006E">
        <w:rPr>
          <w:rFonts w:ascii="Calibri" w:hAnsi="Calibri"/>
        </w:rPr>
        <w:t>.</w:t>
      </w:r>
    </w:p>
    <w:p w14:paraId="05B42584" w14:textId="77777777" w:rsidR="00D45E5D" w:rsidRDefault="00D45E5D" w:rsidP="00D45E5D">
      <w:pPr>
        <w:tabs>
          <w:tab w:val="left" w:pos="709"/>
          <w:tab w:val="left" w:pos="9070"/>
        </w:tabs>
        <w:autoSpaceDE w:val="0"/>
        <w:autoSpaceDN w:val="0"/>
        <w:adjustRightInd w:val="0"/>
        <w:spacing w:before="120" w:after="120" w:line="276" w:lineRule="auto"/>
        <w:rPr>
          <w:rFonts w:ascii="Calibri" w:hAnsi="Calibri"/>
        </w:rPr>
      </w:pPr>
    </w:p>
    <w:p w14:paraId="6B0FEB3A" w14:textId="77777777" w:rsidR="00D45E5D" w:rsidRDefault="00D45E5D" w:rsidP="00D45E5D">
      <w:pPr>
        <w:tabs>
          <w:tab w:val="left" w:pos="709"/>
          <w:tab w:val="left" w:pos="9070"/>
        </w:tabs>
        <w:autoSpaceDE w:val="0"/>
        <w:autoSpaceDN w:val="0"/>
        <w:adjustRightInd w:val="0"/>
        <w:spacing w:before="120" w:after="120" w:line="276" w:lineRule="auto"/>
        <w:rPr>
          <w:rFonts w:ascii="Calibri" w:hAnsi="Calibri"/>
          <w:szCs w:val="24"/>
        </w:rPr>
      </w:pP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D45E5D" w:rsidRPr="004B77D6" w14:paraId="301D863F" w14:textId="77777777" w:rsidTr="00197C13">
        <w:tc>
          <w:tcPr>
            <w:tcW w:w="9055" w:type="dxa"/>
          </w:tcPr>
          <w:p w14:paraId="5CC00BB3" w14:textId="77777777" w:rsidR="00D45E5D" w:rsidRPr="00A5756A" w:rsidRDefault="00D45E5D" w:rsidP="00197C13">
            <w:pPr>
              <w:pStyle w:val="NormalnyWeb"/>
              <w:spacing w:before="120" w:beforeAutospacing="0" w:after="0" w:afterAutospacing="0"/>
              <w:rPr>
                <w:rFonts w:ascii="Calibri" w:hAnsi="Calibri" w:cs="Times New Roman"/>
                <w:b/>
                <w:color w:val="auto"/>
                <w:szCs w:val="22"/>
              </w:rPr>
            </w:pPr>
            <w:r w:rsidRPr="00A5756A">
              <w:rPr>
                <w:rFonts w:ascii="Calibri" w:hAnsi="Calibri" w:cs="Times New Roman"/>
                <w:b/>
                <w:color w:val="auto"/>
                <w:szCs w:val="22"/>
              </w:rPr>
              <w:t>PAMIĘTAJ!</w:t>
            </w:r>
          </w:p>
          <w:p w14:paraId="4E8DC724" w14:textId="77777777" w:rsidR="00D45E5D" w:rsidRPr="0064104A" w:rsidRDefault="00D45E5D" w:rsidP="00197C13">
            <w:pPr>
              <w:tabs>
                <w:tab w:val="left" w:pos="709"/>
                <w:tab w:val="left" w:pos="9070"/>
              </w:tabs>
              <w:autoSpaceDE w:val="0"/>
              <w:autoSpaceDN w:val="0"/>
              <w:adjustRightInd w:val="0"/>
              <w:spacing w:before="120" w:after="120" w:line="276" w:lineRule="auto"/>
              <w:rPr>
                <w:rFonts w:ascii="Calibri" w:hAnsi="Calibri"/>
                <w:szCs w:val="22"/>
              </w:rPr>
            </w:pPr>
            <w:r w:rsidRPr="00A5756A">
              <w:rPr>
                <w:rFonts w:ascii="Calibri" w:hAnsi="Calibri"/>
                <w:szCs w:val="22"/>
              </w:rPr>
              <w:t xml:space="preserve">Szczegółowy zakres i formę programu funkcjonalno-użytkowego określa Rozporządzenie </w:t>
            </w:r>
            <w:r w:rsidRPr="00323092">
              <w:rPr>
                <w:rFonts w:ascii="Calibri" w:hAnsi="Calibri"/>
                <w:szCs w:val="22"/>
              </w:rPr>
              <w:t>M</w:t>
            </w:r>
            <w:r>
              <w:rPr>
                <w:rFonts w:ascii="Calibri" w:hAnsi="Calibri"/>
                <w:szCs w:val="22"/>
              </w:rPr>
              <w:t xml:space="preserve">inistra Rozwoju i Technologii </w:t>
            </w:r>
            <w:r w:rsidRPr="00323092">
              <w:rPr>
                <w:rFonts w:ascii="Calibri" w:hAnsi="Calibri"/>
                <w:szCs w:val="22"/>
              </w:rPr>
              <w:t>z dnia 20 grudnia 2021 r.</w:t>
            </w:r>
            <w:r>
              <w:rPr>
                <w:rFonts w:ascii="Calibri" w:hAnsi="Calibri"/>
                <w:szCs w:val="22"/>
              </w:rPr>
              <w:t xml:space="preserve"> </w:t>
            </w:r>
            <w:r w:rsidRPr="00323092">
              <w:rPr>
                <w:rFonts w:ascii="Calibri" w:hAnsi="Calibri"/>
                <w:szCs w:val="22"/>
              </w:rPr>
              <w:t xml:space="preserve">w sprawie szczegółowego zakresu i formy dokumentacji projektowej, specyfikacji technicznych wykonania i odbioru robót budowlanych oraz programu funkcjonalno-użytkowego </w:t>
            </w:r>
            <w:r w:rsidRPr="00A5756A">
              <w:rPr>
                <w:rFonts w:ascii="Calibri" w:hAnsi="Calibri"/>
                <w:szCs w:val="22"/>
              </w:rPr>
              <w:t>(Dz.</w:t>
            </w:r>
            <w:r>
              <w:rPr>
                <w:rFonts w:ascii="Calibri" w:hAnsi="Calibri"/>
                <w:szCs w:val="22"/>
              </w:rPr>
              <w:t xml:space="preserve"> </w:t>
            </w:r>
            <w:r w:rsidRPr="00A5756A">
              <w:rPr>
                <w:rFonts w:ascii="Calibri" w:hAnsi="Calibri"/>
                <w:szCs w:val="22"/>
              </w:rPr>
              <w:t xml:space="preserve">U. </w:t>
            </w:r>
            <w:r>
              <w:rPr>
                <w:rFonts w:ascii="Calibri" w:hAnsi="Calibri"/>
                <w:szCs w:val="22"/>
              </w:rPr>
              <w:t xml:space="preserve">z 2021 r. </w:t>
            </w:r>
            <w:r w:rsidRPr="00A5756A">
              <w:rPr>
                <w:rFonts w:ascii="Calibri" w:hAnsi="Calibri"/>
                <w:szCs w:val="22"/>
              </w:rPr>
              <w:t xml:space="preserve">poz. </w:t>
            </w:r>
            <w:r>
              <w:rPr>
                <w:rFonts w:ascii="Calibri" w:hAnsi="Calibri"/>
                <w:szCs w:val="22"/>
              </w:rPr>
              <w:t>2454</w:t>
            </w:r>
            <w:r w:rsidRPr="00A5756A">
              <w:rPr>
                <w:rFonts w:ascii="Calibri" w:hAnsi="Calibri"/>
                <w:szCs w:val="22"/>
              </w:rPr>
              <w:t>).</w:t>
            </w:r>
          </w:p>
        </w:tc>
      </w:tr>
    </w:tbl>
    <w:p w14:paraId="77B3F460" w14:textId="77777777" w:rsidR="00D45E5D" w:rsidRDefault="00D45E5D" w:rsidP="00D45E5D">
      <w:pPr>
        <w:tabs>
          <w:tab w:val="left" w:pos="709"/>
          <w:tab w:val="left" w:pos="9070"/>
        </w:tabs>
        <w:autoSpaceDE w:val="0"/>
        <w:autoSpaceDN w:val="0"/>
        <w:adjustRightInd w:val="0"/>
        <w:spacing w:before="120" w:after="120" w:line="276" w:lineRule="auto"/>
        <w:rPr>
          <w:rFonts w:ascii="Calibri" w:hAnsi="Calibri"/>
          <w:szCs w:val="24"/>
        </w:rPr>
      </w:pPr>
      <w:r>
        <w:rPr>
          <w:rFonts w:ascii="Calibri" w:hAnsi="Calibri"/>
          <w:szCs w:val="24"/>
        </w:rPr>
        <w:tab/>
      </w:r>
      <w:r w:rsidRPr="0089006E">
        <w:rPr>
          <w:rFonts w:ascii="Calibri" w:hAnsi="Calibri"/>
          <w:szCs w:val="24"/>
        </w:rPr>
        <w:t xml:space="preserve">Jednakże należy pamiętać wówczas o tym, iż zgodnie z </w:t>
      </w:r>
      <w:r>
        <w:rPr>
          <w:rFonts w:ascii="Calibri" w:hAnsi="Calibri"/>
          <w:szCs w:val="24"/>
        </w:rPr>
        <w:t xml:space="preserve">art. 103 </w:t>
      </w:r>
      <w:r w:rsidRPr="00044260">
        <w:rPr>
          <w:rFonts w:ascii="Calibri" w:hAnsi="Calibri"/>
          <w:szCs w:val="24"/>
        </w:rPr>
        <w:t>ustaw</w:t>
      </w:r>
      <w:r>
        <w:rPr>
          <w:rFonts w:ascii="Calibri" w:hAnsi="Calibri"/>
          <w:szCs w:val="24"/>
        </w:rPr>
        <w:t>y</w:t>
      </w:r>
      <w:r w:rsidRPr="00044260">
        <w:rPr>
          <w:rFonts w:ascii="Calibri" w:hAnsi="Calibri"/>
          <w:szCs w:val="24"/>
        </w:rPr>
        <w:t xml:space="preserve"> z dnia 11 września 2019 r.</w:t>
      </w:r>
      <w:r>
        <w:rPr>
          <w:rFonts w:ascii="Calibri" w:hAnsi="Calibri"/>
          <w:szCs w:val="24"/>
        </w:rPr>
        <w:t xml:space="preserve"> </w:t>
      </w:r>
      <w:r w:rsidRPr="00044260">
        <w:rPr>
          <w:rFonts w:ascii="Calibri" w:hAnsi="Calibri"/>
          <w:szCs w:val="24"/>
        </w:rPr>
        <w:t>Prawo zamówień publicznych</w:t>
      </w:r>
      <w:r w:rsidRPr="00044260">
        <w:rPr>
          <w:rFonts w:ascii="Calibri" w:hAnsi="Calibri" w:cstheme="minorHAnsi"/>
          <w:i/>
          <w:szCs w:val="24"/>
        </w:rPr>
        <w:t xml:space="preserve"> </w:t>
      </w:r>
      <w:r w:rsidRPr="0089006E">
        <w:rPr>
          <w:rFonts w:asciiTheme="minorHAnsi" w:hAnsiTheme="minorHAnsi" w:cstheme="minorHAnsi"/>
          <w:szCs w:val="24"/>
        </w:rPr>
        <w:t>(</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U. z 202</w:t>
      </w:r>
      <w:r>
        <w:rPr>
          <w:rFonts w:asciiTheme="minorHAnsi" w:hAnsiTheme="minorHAnsi" w:cstheme="minorHAnsi"/>
          <w:szCs w:val="24"/>
        </w:rPr>
        <w:t>3</w:t>
      </w:r>
      <w:r w:rsidRPr="0089006E">
        <w:rPr>
          <w:rFonts w:asciiTheme="minorHAnsi" w:hAnsiTheme="minorHAnsi" w:cstheme="minorHAnsi"/>
          <w:szCs w:val="24"/>
        </w:rPr>
        <w:t xml:space="preserve"> r., poz. </w:t>
      </w:r>
      <w:r>
        <w:rPr>
          <w:rFonts w:asciiTheme="minorHAnsi" w:hAnsiTheme="minorHAnsi" w:cstheme="minorHAnsi"/>
          <w:szCs w:val="24"/>
        </w:rPr>
        <w:t xml:space="preserve">1605 z </w:t>
      </w:r>
      <w:proofErr w:type="spellStart"/>
      <w:r>
        <w:rPr>
          <w:rFonts w:asciiTheme="minorHAnsi" w:hAnsiTheme="minorHAnsi" w:cstheme="minorHAnsi"/>
          <w:szCs w:val="24"/>
        </w:rPr>
        <w:t>późn</w:t>
      </w:r>
      <w:proofErr w:type="spellEnd"/>
      <w:r>
        <w:rPr>
          <w:rFonts w:asciiTheme="minorHAnsi" w:hAnsiTheme="minorHAnsi" w:cstheme="minorHAnsi"/>
          <w:szCs w:val="24"/>
        </w:rPr>
        <w:t>. zm.)</w:t>
      </w:r>
      <w:r w:rsidRPr="0089006E">
        <w:rPr>
          <w:rFonts w:ascii="Calibri" w:hAnsi="Calibri"/>
          <w:i/>
          <w:szCs w:val="24"/>
        </w:rPr>
        <w:t>,</w:t>
      </w:r>
      <w:r w:rsidRPr="0089006E">
        <w:rPr>
          <w:rFonts w:ascii="Calibri" w:hAnsi="Calibri"/>
          <w:szCs w:val="24"/>
        </w:rPr>
        <w:t xml:space="preserve"> jeżeli </w:t>
      </w:r>
      <w:r w:rsidRPr="0089006E">
        <w:rPr>
          <w:rFonts w:ascii="Calibri" w:hAnsi="Calibri"/>
          <w:szCs w:val="24"/>
          <w:u w:val="single"/>
        </w:rPr>
        <w:t>przedmiotem zamówienia jest zaprojektowanie i wykonanie robót budowlanych</w:t>
      </w:r>
      <w:r w:rsidRPr="0089006E">
        <w:rPr>
          <w:rFonts w:ascii="Calibri" w:hAnsi="Calibri"/>
          <w:szCs w:val="24"/>
        </w:rPr>
        <w:t xml:space="preserve"> w rozumieniu </w:t>
      </w:r>
      <w:r w:rsidRPr="0089006E">
        <w:rPr>
          <w:rFonts w:asciiTheme="minorHAnsi" w:hAnsiTheme="minorHAnsi" w:cstheme="minorHAnsi"/>
          <w:szCs w:val="24"/>
        </w:rPr>
        <w:t>Ustawy z dnia 7 lipca 1994 r. Prawo budowlane (</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U. z 202</w:t>
      </w:r>
      <w:r>
        <w:rPr>
          <w:rFonts w:asciiTheme="minorHAnsi" w:hAnsiTheme="minorHAnsi" w:cstheme="minorHAnsi"/>
          <w:szCs w:val="24"/>
        </w:rPr>
        <w:t>4</w:t>
      </w:r>
      <w:r w:rsidRPr="0089006E">
        <w:rPr>
          <w:rFonts w:asciiTheme="minorHAnsi" w:hAnsiTheme="minorHAnsi" w:cstheme="minorHAnsi"/>
          <w:szCs w:val="24"/>
        </w:rPr>
        <w:t xml:space="preserve"> r., poz. </w:t>
      </w:r>
      <w:r>
        <w:rPr>
          <w:rFonts w:asciiTheme="minorHAnsi" w:hAnsiTheme="minorHAnsi" w:cstheme="minorHAnsi"/>
          <w:szCs w:val="24"/>
        </w:rPr>
        <w:t xml:space="preserve">725 z </w:t>
      </w:r>
      <w:proofErr w:type="spellStart"/>
      <w:r>
        <w:rPr>
          <w:rFonts w:asciiTheme="minorHAnsi" w:hAnsiTheme="minorHAnsi" w:cstheme="minorHAnsi"/>
          <w:szCs w:val="24"/>
        </w:rPr>
        <w:t>późn</w:t>
      </w:r>
      <w:proofErr w:type="spellEnd"/>
      <w:r>
        <w:rPr>
          <w:rFonts w:asciiTheme="minorHAnsi" w:hAnsiTheme="minorHAnsi" w:cstheme="minorHAnsi"/>
          <w:szCs w:val="24"/>
        </w:rPr>
        <w:t>. zm.),</w:t>
      </w:r>
      <w:r w:rsidRPr="0089006E">
        <w:rPr>
          <w:rFonts w:ascii="Calibri" w:hAnsi="Calibri"/>
          <w:szCs w:val="24"/>
        </w:rPr>
        <w:t xml:space="preserve"> zamawiający opisuje przedmiot zamówienia za pomocą programu funkcjonalno-użytkowego</w:t>
      </w:r>
      <w:r>
        <w:rPr>
          <w:rFonts w:ascii="Calibri" w:hAnsi="Calibri"/>
          <w:szCs w:val="24"/>
        </w:rPr>
        <w:t>.</w:t>
      </w:r>
    </w:p>
    <w:p w14:paraId="4DB310BE" w14:textId="77777777" w:rsidR="00D45E5D" w:rsidRPr="0089006E" w:rsidRDefault="00D45E5D" w:rsidP="00D45E5D">
      <w:pPr>
        <w:tabs>
          <w:tab w:val="left" w:pos="709"/>
          <w:tab w:val="left" w:pos="9070"/>
        </w:tabs>
        <w:autoSpaceDE w:val="0"/>
        <w:autoSpaceDN w:val="0"/>
        <w:adjustRightInd w:val="0"/>
        <w:spacing w:before="120" w:after="120" w:line="276" w:lineRule="auto"/>
        <w:rPr>
          <w:rFonts w:ascii="Calibri" w:hAnsi="Calibri"/>
          <w:szCs w:val="24"/>
        </w:rPr>
      </w:pPr>
      <w:r w:rsidRPr="0089006E">
        <w:rPr>
          <w:rFonts w:ascii="Calibri" w:hAnsi="Calibri"/>
          <w:szCs w:val="24"/>
          <w:u w:val="single"/>
        </w:rPr>
        <w:t>Program funkcjonalno-użytkowy</w:t>
      </w:r>
      <w:r w:rsidRPr="0089006E">
        <w:rPr>
          <w:rFonts w:ascii="Calibri" w:hAnsi="Calibri"/>
          <w:szCs w:val="24"/>
        </w:rPr>
        <w:t xml:space="preserve"> obejmuje opis zadania budowlanego, w którym podaje się przeznaczenie ukończonych robót budowlanych oraz stawiane im wymagania techniczne, ekonomiczne, architektoniczne, materiałowe i funkcjonalne</w:t>
      </w:r>
      <w:r>
        <w:rPr>
          <w:rFonts w:ascii="Calibri" w:hAnsi="Calibri"/>
          <w:szCs w:val="24"/>
        </w:rPr>
        <w:t>.</w:t>
      </w:r>
    </w:p>
    <w:p w14:paraId="69962B41" w14:textId="77777777" w:rsidR="00D45E5D" w:rsidRPr="0089006E" w:rsidRDefault="00D45E5D" w:rsidP="00D45E5D">
      <w:pPr>
        <w:tabs>
          <w:tab w:val="left" w:pos="567"/>
          <w:tab w:val="left" w:pos="8820"/>
        </w:tabs>
        <w:autoSpaceDE w:val="0"/>
        <w:autoSpaceDN w:val="0"/>
        <w:adjustRightInd w:val="0"/>
        <w:spacing w:before="120" w:after="120" w:line="276" w:lineRule="auto"/>
        <w:ind w:firstLine="709"/>
        <w:rPr>
          <w:rFonts w:ascii="Calibri" w:hAnsi="Calibri"/>
          <w:szCs w:val="24"/>
        </w:rPr>
      </w:pPr>
      <w:r w:rsidRPr="0089006E">
        <w:rPr>
          <w:rFonts w:ascii="Calibri" w:hAnsi="Calibri"/>
          <w:szCs w:val="24"/>
        </w:rPr>
        <w:t xml:space="preserve">Dla projektów z programem funkcjonalno-użytkowym należy również w celu poświadczenia zgodności projektu z planem miejscowym załączyć dokumenty o których mowa w pkt. 3.2 tj. dotyczące zagospodarowania przestrzennego (kopia decyzji o warunkach zabudowy lub kopia decyzji o ustaleniu inwestycji celu publicznego lub wypis i </w:t>
      </w:r>
      <w:proofErr w:type="spellStart"/>
      <w:r w:rsidRPr="0089006E">
        <w:rPr>
          <w:rFonts w:ascii="Calibri" w:hAnsi="Calibri"/>
          <w:szCs w:val="24"/>
        </w:rPr>
        <w:t>wyrys</w:t>
      </w:r>
      <w:proofErr w:type="spellEnd"/>
      <w:r w:rsidRPr="0089006E">
        <w:rPr>
          <w:rFonts w:ascii="Calibri" w:hAnsi="Calibri"/>
          <w:szCs w:val="24"/>
        </w:rPr>
        <w:t xml:space="preserve"> </w:t>
      </w:r>
      <w:r w:rsidRPr="0089006E">
        <w:rPr>
          <w:rFonts w:ascii="Calibri" w:hAnsi="Calibri"/>
          <w:szCs w:val="24"/>
        </w:rPr>
        <w:br/>
        <w:t>z miejscowego planu zagospodarowania przestrzennego).</w:t>
      </w:r>
    </w:p>
    <w:p w14:paraId="41063B79" w14:textId="77777777" w:rsidR="00D45E5D" w:rsidRPr="00B71E10" w:rsidRDefault="00D45E5D" w:rsidP="00D45E5D">
      <w:pPr>
        <w:suppressAutoHyphens w:val="0"/>
        <w:spacing w:line="276" w:lineRule="auto"/>
        <w:ind w:firstLine="709"/>
        <w:rPr>
          <w:rFonts w:ascii="Calibri" w:eastAsia="Calibri" w:hAnsi="Calibri" w:cs="Calibri"/>
          <w:szCs w:val="24"/>
          <w:lang w:eastAsia="en-US"/>
          <w14:ligatures w14:val="standardContextual"/>
        </w:rPr>
      </w:pPr>
      <w:r w:rsidRPr="00B71E10">
        <w:rPr>
          <w:rFonts w:ascii="Calibri" w:eastAsia="Calibri" w:hAnsi="Calibri" w:cs="Calibri"/>
          <w:szCs w:val="24"/>
        </w:rPr>
        <w:t xml:space="preserve">Dla projektów tego typu nie jest koniecznym przedstawienie kopii pozwolenia na budowę lub zgłoszenia budowy. Jednakże należy pamiętać, iż dokumenty te będą musiały zostać dostarczone do Instytucji Zarządzającej po ich otrzymaniu przez wnioskodawcę, już po podpisaniu umowy o dofinansowanie. Po otrzymaniu dokumentacji projektu oraz wszelkich wymaganych prawem pozwoleń na realizację projektu, Instytucja Zarządzająca dokona oceny czy projekt </w:t>
      </w:r>
      <w:r w:rsidRPr="00B71E10">
        <w:rPr>
          <w:rFonts w:ascii="Calibri" w:eastAsia="Calibri" w:hAnsi="Calibri" w:cs="Calibri"/>
          <w:szCs w:val="24"/>
          <w:lang w:eastAsia="en-US"/>
          <w14:ligatures w14:val="standardContextual"/>
        </w:rPr>
        <w:t xml:space="preserve">spełnia </w:t>
      </w:r>
      <w:r w:rsidRPr="00B71E10">
        <w:rPr>
          <w:rFonts w:ascii="Calibri" w:eastAsia="Calibri" w:hAnsi="Calibri" w:cs="Calibri"/>
          <w:i/>
          <w:iCs/>
          <w:szCs w:val="24"/>
          <w:lang w:eastAsia="en-US"/>
          <w14:ligatures w14:val="standardContextual"/>
        </w:rPr>
        <w:t>Kryteria Środowiskowe dla wszystkich działań FEO 2021-2027</w:t>
      </w:r>
      <w:r w:rsidRPr="00B71E10">
        <w:rPr>
          <w:rFonts w:ascii="Calibri" w:eastAsia="Calibri" w:hAnsi="Calibri" w:cs="Calibri"/>
          <w:szCs w:val="24"/>
          <w:lang w:eastAsia="en-US"/>
          <w14:ligatures w14:val="standardContextual"/>
        </w:rPr>
        <w:t xml:space="preserve">, stanowiące załącznik do Regulaminu wyboru projektów obowiązującego w naborze, </w:t>
      </w:r>
      <w:r>
        <w:rPr>
          <w:rFonts w:ascii="Calibri" w:eastAsia="Calibri" w:hAnsi="Calibri" w:cs="Calibri"/>
          <w:szCs w:val="24"/>
          <w:lang w:eastAsia="en-US"/>
          <w14:ligatures w14:val="standardContextual"/>
        </w:rPr>
        <w:br/>
      </w:r>
      <w:r w:rsidRPr="00B71E10">
        <w:rPr>
          <w:rFonts w:ascii="Calibri" w:eastAsia="Calibri" w:hAnsi="Calibri" w:cs="Calibri"/>
          <w:szCs w:val="24"/>
          <w:lang w:eastAsia="en-US"/>
          <w14:ligatures w14:val="standardContextual"/>
        </w:rPr>
        <w:t xml:space="preserve">w ramach którego projekt został wybrany do dofinansowania - </w:t>
      </w:r>
      <w:r w:rsidRPr="00B71E10">
        <w:rPr>
          <w:rFonts w:ascii="Calibri" w:eastAsia="Calibri" w:hAnsi="Calibri" w:cs="Calibri"/>
          <w:szCs w:val="24"/>
        </w:rPr>
        <w:t>(szczegółowe zapisy znajdują się w umowie o dofinansowanie).</w:t>
      </w:r>
    </w:p>
    <w:p w14:paraId="4CC34D59" w14:textId="77777777" w:rsidR="0089006E" w:rsidRPr="004B77D6" w:rsidRDefault="0089006E" w:rsidP="0071603D">
      <w:pPr>
        <w:spacing w:after="120" w:line="276" w:lineRule="auto"/>
      </w:pPr>
    </w:p>
    <w:p w14:paraId="3873410A" w14:textId="0462CC43" w:rsidR="00A06439" w:rsidRPr="004B77D6" w:rsidRDefault="00A06439" w:rsidP="0071603D">
      <w:pPr>
        <w:pStyle w:val="Nagwek3"/>
        <w:numPr>
          <w:ilvl w:val="0"/>
          <w:numId w:val="6"/>
        </w:numPr>
        <w:spacing w:before="0" w:after="120" w:line="276" w:lineRule="auto"/>
        <w:rPr>
          <w:rFonts w:ascii="Calibri" w:hAnsi="Calibri"/>
          <w:sz w:val="28"/>
          <w:szCs w:val="28"/>
        </w:rPr>
      </w:pPr>
      <w:bookmarkStart w:id="122" w:name="_Toc179171285"/>
      <w:bookmarkStart w:id="123" w:name="_Toc477857446"/>
      <w:bookmarkStart w:id="124" w:name="_Toc184900804"/>
      <w:bookmarkEnd w:id="111"/>
      <w:r w:rsidRPr="004B77D6">
        <w:rPr>
          <w:rFonts w:ascii="Calibri" w:hAnsi="Calibri"/>
          <w:sz w:val="28"/>
          <w:szCs w:val="28"/>
        </w:rPr>
        <w:t>DOKUMENT POTWIE</w:t>
      </w:r>
      <w:r w:rsidR="00526958" w:rsidRPr="004B77D6">
        <w:rPr>
          <w:rFonts w:ascii="Calibri" w:hAnsi="Calibri"/>
          <w:sz w:val="28"/>
          <w:szCs w:val="28"/>
        </w:rPr>
        <w:t xml:space="preserve">RDZAJĄCY ZABEZPIECZENIE ŚRODKÓW </w:t>
      </w:r>
      <w:r w:rsidRPr="004B77D6">
        <w:rPr>
          <w:rFonts w:ascii="Calibri" w:hAnsi="Calibri"/>
          <w:sz w:val="28"/>
          <w:szCs w:val="28"/>
        </w:rPr>
        <w:t>KONIECZNYCH DO ZREALIZOWANIA INWESTYCJI</w:t>
      </w:r>
      <w:bookmarkEnd w:id="122"/>
      <w:bookmarkEnd w:id="123"/>
      <w:bookmarkEnd w:id="124"/>
    </w:p>
    <w:p w14:paraId="3892E025" w14:textId="77777777" w:rsidR="00431E09" w:rsidRPr="004B77D6" w:rsidRDefault="00526958"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Wnioskodawca powinien zapewnić posiadanie wystarczających środków finansowych gwarantujących płynną i terminową realizację projektu przedstawionego we wniosku. </w:t>
      </w:r>
      <w:r w:rsidR="00742CB6" w:rsidRPr="004B77D6">
        <w:rPr>
          <w:rFonts w:asciiTheme="minorHAnsi" w:hAnsiTheme="minorHAnsi" w:cstheme="minorHAnsi"/>
          <w:szCs w:val="24"/>
        </w:rPr>
        <w:t xml:space="preserve">Na </w:t>
      </w:r>
      <w:r w:rsidR="00742CB6" w:rsidRPr="004B77D6">
        <w:rPr>
          <w:rFonts w:asciiTheme="minorHAnsi" w:hAnsiTheme="minorHAnsi" w:cstheme="minorHAnsi"/>
          <w:szCs w:val="24"/>
        </w:rPr>
        <w:lastRenderedPageBreak/>
        <w:t>etapie oceny projektu może złożyć w tym zakresie oświadczenie lub potwierdzić ten fakt</w:t>
      </w:r>
      <w:r w:rsidRPr="004B77D6">
        <w:rPr>
          <w:rFonts w:asciiTheme="minorHAnsi" w:hAnsiTheme="minorHAnsi" w:cstheme="minorHAnsi"/>
          <w:szCs w:val="24"/>
        </w:rPr>
        <w:t xml:space="preserve"> poprzez przedstawienie odpowiedniego dokumentu zabezpieczającego </w:t>
      </w:r>
      <w:r w:rsidR="00CA774C" w:rsidRPr="004B77D6">
        <w:rPr>
          <w:rFonts w:asciiTheme="minorHAnsi" w:hAnsiTheme="minorHAnsi" w:cstheme="minorHAnsi"/>
          <w:szCs w:val="24"/>
        </w:rPr>
        <w:t>fakt posiadania środków w wysokości wkładu własnego oraz wydatków niekwalifikowalnych.</w:t>
      </w:r>
    </w:p>
    <w:p w14:paraId="75ADB82A" w14:textId="77777777" w:rsidR="007B1B6A" w:rsidRPr="004B77D6" w:rsidRDefault="007B1B6A"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 ramach </w:t>
      </w:r>
      <w:r w:rsidR="00526958" w:rsidRPr="004B77D6">
        <w:rPr>
          <w:rFonts w:asciiTheme="minorHAnsi" w:hAnsiTheme="minorHAnsi" w:cstheme="minorHAnsi"/>
          <w:szCs w:val="24"/>
        </w:rPr>
        <w:t>FEO 2021-2027</w:t>
      </w:r>
      <w:r w:rsidRPr="004B77D6">
        <w:rPr>
          <w:rFonts w:asciiTheme="minorHAnsi" w:hAnsiTheme="minorHAnsi" w:cstheme="minorHAnsi"/>
          <w:szCs w:val="24"/>
        </w:rPr>
        <w:t xml:space="preserve"> beneficjenci mogą otrzymać dofinansowanie w formie:</w:t>
      </w:r>
    </w:p>
    <w:p w14:paraId="247F2376" w14:textId="77777777" w:rsidR="007B1B6A" w:rsidRPr="004B77D6" w:rsidRDefault="007B1B6A" w:rsidP="0071603D">
      <w:pPr>
        <w:numPr>
          <w:ilvl w:val="0"/>
          <w:numId w:val="8"/>
        </w:numPr>
        <w:spacing w:after="120" w:line="276" w:lineRule="auto"/>
        <w:rPr>
          <w:rFonts w:asciiTheme="minorHAnsi" w:hAnsiTheme="minorHAnsi" w:cstheme="minorHAnsi"/>
          <w:szCs w:val="24"/>
        </w:rPr>
      </w:pPr>
      <w:r w:rsidRPr="004B77D6">
        <w:rPr>
          <w:rFonts w:asciiTheme="minorHAnsi" w:hAnsiTheme="minorHAnsi" w:cstheme="minorHAnsi"/>
          <w:szCs w:val="24"/>
        </w:rPr>
        <w:t>zaliczki;</w:t>
      </w:r>
    </w:p>
    <w:p w14:paraId="3C80379D" w14:textId="77777777" w:rsidR="007B1B6A" w:rsidRPr="004B77D6" w:rsidRDefault="007B1B6A" w:rsidP="0071603D">
      <w:pPr>
        <w:numPr>
          <w:ilvl w:val="0"/>
          <w:numId w:val="8"/>
        </w:numPr>
        <w:spacing w:after="120" w:line="276" w:lineRule="auto"/>
        <w:rPr>
          <w:rFonts w:asciiTheme="minorHAnsi" w:hAnsiTheme="minorHAnsi" w:cstheme="minorHAnsi"/>
          <w:szCs w:val="24"/>
        </w:rPr>
      </w:pPr>
      <w:r w:rsidRPr="004B77D6">
        <w:rPr>
          <w:rFonts w:asciiTheme="minorHAnsi" w:hAnsiTheme="minorHAnsi" w:cstheme="minorHAnsi"/>
          <w:szCs w:val="24"/>
        </w:rPr>
        <w:t>refundacji.</w:t>
      </w:r>
    </w:p>
    <w:p w14:paraId="1DE26265" w14:textId="1B5EA522" w:rsidR="007B1B6A" w:rsidRPr="004B77D6" w:rsidRDefault="007B1B6A" w:rsidP="0071603D">
      <w:pPr>
        <w:spacing w:after="120" w:line="276" w:lineRule="auto"/>
        <w:rPr>
          <w:rFonts w:asciiTheme="minorHAnsi" w:hAnsiTheme="minorHAnsi" w:cstheme="minorHAnsi"/>
          <w:szCs w:val="24"/>
        </w:rPr>
      </w:pPr>
      <w:r w:rsidRPr="004B77D6">
        <w:rPr>
          <w:rFonts w:asciiTheme="minorHAnsi" w:hAnsiTheme="minorHAnsi" w:cstheme="minorHAnsi"/>
          <w:b/>
          <w:szCs w:val="24"/>
        </w:rPr>
        <w:t xml:space="preserve">Możliwość wypłacania przez </w:t>
      </w:r>
      <w:r w:rsidR="004B77D6">
        <w:rPr>
          <w:rFonts w:asciiTheme="minorHAnsi" w:hAnsiTheme="minorHAnsi" w:cstheme="minorHAnsi"/>
          <w:b/>
          <w:szCs w:val="24"/>
        </w:rPr>
        <w:t>IZ</w:t>
      </w:r>
      <w:r w:rsidR="00526958" w:rsidRPr="004B77D6">
        <w:rPr>
          <w:rFonts w:asciiTheme="minorHAnsi" w:hAnsiTheme="minorHAnsi" w:cstheme="minorHAnsi"/>
          <w:b/>
          <w:szCs w:val="24"/>
        </w:rPr>
        <w:t xml:space="preserve"> FEO 2021-20207</w:t>
      </w:r>
      <w:r w:rsidR="0039660C" w:rsidRPr="004B77D6">
        <w:rPr>
          <w:rFonts w:asciiTheme="minorHAnsi" w:hAnsiTheme="minorHAnsi" w:cstheme="minorHAnsi"/>
          <w:b/>
          <w:szCs w:val="24"/>
        </w:rPr>
        <w:t xml:space="preserve"> </w:t>
      </w:r>
      <w:r w:rsidRPr="004B77D6">
        <w:rPr>
          <w:rFonts w:asciiTheme="minorHAnsi" w:hAnsiTheme="minorHAnsi" w:cstheme="minorHAnsi"/>
          <w:b/>
          <w:szCs w:val="24"/>
        </w:rPr>
        <w:t>zaliczek dla beneficjentów</w:t>
      </w:r>
      <w:r w:rsidR="00526958" w:rsidRPr="004B77D6">
        <w:rPr>
          <w:rFonts w:asciiTheme="minorHAnsi" w:hAnsiTheme="minorHAnsi" w:cstheme="minorHAnsi"/>
          <w:b/>
          <w:szCs w:val="24"/>
        </w:rPr>
        <w:t xml:space="preserve"> nie zmienia obowiązku </w:t>
      </w:r>
      <w:r w:rsidR="00526958" w:rsidRPr="004B77D6">
        <w:rPr>
          <w:rFonts w:asciiTheme="minorHAnsi" w:hAnsiTheme="minorHAnsi" w:cstheme="minorHAnsi"/>
          <w:b/>
          <w:szCs w:val="24"/>
          <w:u w:val="single"/>
        </w:rPr>
        <w:t>złożenia przez Wnioskodawcę oświadczenia</w:t>
      </w:r>
      <w:r w:rsidRPr="004B77D6">
        <w:rPr>
          <w:rFonts w:asciiTheme="minorHAnsi" w:hAnsiTheme="minorHAnsi" w:cstheme="minorHAnsi"/>
          <w:b/>
          <w:szCs w:val="24"/>
          <w:u w:val="single"/>
        </w:rPr>
        <w:t xml:space="preserve"> o posiadaniu środków finansowych oraz do</w:t>
      </w:r>
      <w:r w:rsidR="00526958" w:rsidRPr="004B77D6">
        <w:rPr>
          <w:rFonts w:asciiTheme="minorHAnsi" w:hAnsiTheme="minorHAnsi" w:cstheme="minorHAnsi"/>
          <w:b/>
          <w:szCs w:val="24"/>
          <w:u w:val="single"/>
        </w:rPr>
        <w:t>kumentów</w:t>
      </w:r>
      <w:r w:rsidRPr="004B77D6">
        <w:rPr>
          <w:rFonts w:asciiTheme="minorHAnsi" w:hAnsiTheme="minorHAnsi" w:cstheme="minorHAnsi"/>
          <w:b/>
          <w:szCs w:val="24"/>
          <w:u w:val="single"/>
        </w:rPr>
        <w:t xml:space="preserve"> potwierdzające posiadanie środków, w wysokości niezbędnej do pokrycia wkładu własnego oraz wydatków niekwalifikowalnych.</w:t>
      </w:r>
      <w:r w:rsidRPr="004B77D6">
        <w:rPr>
          <w:rFonts w:asciiTheme="minorHAnsi" w:hAnsiTheme="minorHAnsi" w:cstheme="minorHAnsi"/>
          <w:szCs w:val="24"/>
        </w:rPr>
        <w:t xml:space="preserve"> </w:t>
      </w:r>
      <w:r w:rsidR="0039660C" w:rsidRPr="004B77D6">
        <w:rPr>
          <w:rFonts w:asciiTheme="minorHAnsi" w:hAnsiTheme="minorHAnsi" w:cstheme="minorHAnsi"/>
          <w:szCs w:val="24"/>
        </w:rPr>
        <w:br/>
      </w:r>
      <w:r w:rsidRPr="004B77D6">
        <w:rPr>
          <w:rFonts w:asciiTheme="minorHAnsi" w:hAnsiTheme="minorHAnsi" w:cstheme="minorHAnsi"/>
          <w:szCs w:val="24"/>
        </w:rPr>
        <w:t xml:space="preserve">W praktyce oznacza to, że na etapie naboru wniosków o dofinansowanie projektów wszyscy </w:t>
      </w:r>
      <w:r w:rsidR="00A721F7" w:rsidRPr="004B77D6">
        <w:rPr>
          <w:rFonts w:asciiTheme="minorHAnsi" w:hAnsiTheme="minorHAnsi" w:cstheme="minorHAnsi"/>
          <w:szCs w:val="24"/>
        </w:rPr>
        <w:t>W</w:t>
      </w:r>
      <w:r w:rsidRPr="004B77D6">
        <w:rPr>
          <w:rFonts w:asciiTheme="minorHAnsi" w:hAnsiTheme="minorHAnsi" w:cstheme="minorHAnsi"/>
          <w:szCs w:val="24"/>
        </w:rPr>
        <w:t>nioskodawcy muszą zapewnić środki w taki sposób, aby możliwe było realizowanie zaplanowanego projektu w terminie ujętym we wniosku o dofinansowanie bez otrzymania środków dofinansowania.</w:t>
      </w:r>
    </w:p>
    <w:p w14:paraId="10E586CC" w14:textId="77777777" w:rsidR="00E0087D" w:rsidRPr="004B77D6" w:rsidRDefault="00377D65" w:rsidP="0071603D">
      <w:pPr>
        <w:spacing w:after="120" w:line="276" w:lineRule="auto"/>
        <w:rPr>
          <w:rFonts w:asciiTheme="minorHAnsi" w:hAnsiTheme="minorHAnsi" w:cstheme="minorHAnsi"/>
          <w:szCs w:val="24"/>
        </w:rPr>
      </w:pPr>
      <w:r w:rsidRPr="004B77D6">
        <w:rPr>
          <w:rFonts w:asciiTheme="minorHAnsi" w:hAnsiTheme="minorHAnsi" w:cstheme="minorHAnsi"/>
          <w:szCs w:val="24"/>
        </w:rPr>
        <w:t>Dla przykładu b</w:t>
      </w:r>
      <w:r w:rsidR="00A06439" w:rsidRPr="004B77D6">
        <w:rPr>
          <w:rFonts w:asciiTheme="minorHAnsi" w:hAnsiTheme="minorHAnsi" w:cstheme="minorHAnsi"/>
          <w:szCs w:val="24"/>
        </w:rPr>
        <w:t xml:space="preserve">eneficjenci, którzy </w:t>
      </w:r>
      <w:r w:rsidRPr="004B77D6">
        <w:rPr>
          <w:rFonts w:asciiTheme="minorHAnsi" w:hAnsiTheme="minorHAnsi" w:cstheme="minorHAnsi"/>
          <w:szCs w:val="24"/>
        </w:rPr>
        <w:t xml:space="preserve">z powodu braku wystarczającej ilości środków </w:t>
      </w:r>
      <w:r w:rsidR="005B2988" w:rsidRPr="004B77D6">
        <w:rPr>
          <w:rFonts w:asciiTheme="minorHAnsi" w:hAnsiTheme="minorHAnsi" w:cstheme="minorHAnsi"/>
          <w:szCs w:val="24"/>
        </w:rPr>
        <w:br/>
      </w:r>
      <w:r w:rsidRPr="004B77D6">
        <w:rPr>
          <w:rFonts w:asciiTheme="minorHAnsi" w:hAnsiTheme="minorHAnsi" w:cstheme="minorHAnsi"/>
          <w:szCs w:val="24"/>
        </w:rPr>
        <w:t xml:space="preserve">w budżecie środków europejskich/budżecie państwa </w:t>
      </w:r>
      <w:r w:rsidR="00A06439" w:rsidRPr="004B77D6">
        <w:rPr>
          <w:rFonts w:asciiTheme="minorHAnsi" w:hAnsiTheme="minorHAnsi" w:cstheme="minorHAnsi"/>
          <w:szCs w:val="24"/>
        </w:rPr>
        <w:t xml:space="preserve">nie będą mogli otrzymać środków dofinansowania w formie zaliczki lub refundacji, będą musieli sami sfinansować swoje wydatki na rzecz wykonawcy/dostawcy, </w:t>
      </w:r>
      <w:r w:rsidRPr="004B77D6">
        <w:rPr>
          <w:rFonts w:asciiTheme="minorHAnsi" w:hAnsiTheme="minorHAnsi" w:cstheme="minorHAnsi"/>
          <w:szCs w:val="24"/>
        </w:rPr>
        <w:t xml:space="preserve">natomiast </w:t>
      </w:r>
      <w:r w:rsidR="00A06439" w:rsidRPr="004B77D6">
        <w:rPr>
          <w:rFonts w:asciiTheme="minorHAnsi" w:hAnsiTheme="minorHAnsi" w:cstheme="minorHAnsi"/>
          <w:szCs w:val="24"/>
        </w:rPr>
        <w:t>refundację poniesionych wydatków</w:t>
      </w:r>
      <w:r w:rsidR="00862B95" w:rsidRPr="004B77D6">
        <w:rPr>
          <w:rFonts w:asciiTheme="minorHAnsi" w:hAnsiTheme="minorHAnsi" w:cstheme="minorHAnsi"/>
          <w:szCs w:val="24"/>
        </w:rPr>
        <w:t xml:space="preserve"> kwalifikowalnych</w:t>
      </w:r>
      <w:r w:rsidRPr="004B77D6">
        <w:rPr>
          <w:rFonts w:asciiTheme="minorHAnsi" w:hAnsiTheme="minorHAnsi" w:cstheme="minorHAnsi"/>
          <w:szCs w:val="24"/>
        </w:rPr>
        <w:t xml:space="preserve"> otrzymają w późniejszym czasie.</w:t>
      </w:r>
    </w:p>
    <w:p w14:paraId="50710C3C" w14:textId="77777777" w:rsidR="00A06439" w:rsidRPr="004B77D6" w:rsidRDefault="00A06439"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Rodzaj dokumentu, przedstawianego przez </w:t>
      </w:r>
      <w:r w:rsidR="00A721F7" w:rsidRPr="004B77D6">
        <w:rPr>
          <w:rFonts w:asciiTheme="minorHAnsi" w:hAnsiTheme="minorHAnsi" w:cstheme="minorHAnsi"/>
          <w:szCs w:val="24"/>
        </w:rPr>
        <w:t>W</w:t>
      </w:r>
      <w:r w:rsidR="007A78CA" w:rsidRPr="004B77D6">
        <w:rPr>
          <w:rFonts w:asciiTheme="minorHAnsi" w:hAnsiTheme="minorHAnsi" w:cstheme="minorHAnsi"/>
          <w:szCs w:val="24"/>
        </w:rPr>
        <w:t>nioskodawcę</w:t>
      </w:r>
      <w:r w:rsidRPr="004B77D6">
        <w:rPr>
          <w:rFonts w:asciiTheme="minorHAnsi" w:hAnsiTheme="minorHAnsi" w:cstheme="minorHAnsi"/>
          <w:szCs w:val="24"/>
        </w:rPr>
        <w:t>, potwierdzającego posiadanie środków zabezpieczających realizacj</w:t>
      </w:r>
      <w:r w:rsidR="007A78CA" w:rsidRPr="004B77D6">
        <w:rPr>
          <w:rFonts w:asciiTheme="minorHAnsi" w:hAnsiTheme="minorHAnsi" w:cstheme="minorHAnsi"/>
          <w:szCs w:val="24"/>
        </w:rPr>
        <w:t xml:space="preserve">ę projektu zależy od kategorii </w:t>
      </w:r>
      <w:r w:rsidR="00A721F7" w:rsidRPr="004B77D6">
        <w:rPr>
          <w:rFonts w:asciiTheme="minorHAnsi" w:hAnsiTheme="minorHAnsi" w:cstheme="minorHAnsi"/>
          <w:szCs w:val="24"/>
        </w:rPr>
        <w:t>W</w:t>
      </w:r>
      <w:r w:rsidR="007A78CA" w:rsidRPr="004B77D6">
        <w:rPr>
          <w:rFonts w:asciiTheme="minorHAnsi" w:hAnsiTheme="minorHAnsi" w:cstheme="minorHAnsi"/>
          <w:szCs w:val="24"/>
        </w:rPr>
        <w:t>nioskodawcy</w:t>
      </w:r>
      <w:r w:rsidRPr="004B77D6">
        <w:rPr>
          <w:rFonts w:asciiTheme="minorHAnsi" w:hAnsiTheme="minorHAnsi" w:cstheme="minorHAnsi"/>
          <w:szCs w:val="24"/>
        </w:rPr>
        <w:t>:</w:t>
      </w:r>
    </w:p>
    <w:p w14:paraId="1BEF489E" w14:textId="4D9EE600" w:rsidR="00A06439" w:rsidRPr="004B77D6"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4B77D6">
        <w:rPr>
          <w:rFonts w:asciiTheme="minorHAnsi" w:hAnsiTheme="minorHAnsi" w:cstheme="minorHAnsi"/>
          <w:b/>
          <w:szCs w:val="24"/>
        </w:rPr>
        <w:t xml:space="preserve">Jednostka samorządu terytorialnego </w:t>
      </w:r>
      <w:r w:rsidRPr="004B77D6">
        <w:rPr>
          <w:rFonts w:asciiTheme="minorHAnsi" w:hAnsiTheme="minorHAnsi" w:cstheme="minorHAnsi"/>
          <w:szCs w:val="24"/>
        </w:rPr>
        <w:t>załącza kopie uchwały budżetowej na dany rok poświadczoną za zgodność z oryginałem. Jeśli realizacja proj</w:t>
      </w:r>
      <w:r w:rsidR="00857620" w:rsidRPr="004B77D6">
        <w:rPr>
          <w:rFonts w:asciiTheme="minorHAnsi" w:hAnsiTheme="minorHAnsi" w:cstheme="minorHAnsi"/>
          <w:szCs w:val="24"/>
        </w:rPr>
        <w:t>ektu obejmuje okres dłuższy niż </w:t>
      </w:r>
      <w:r w:rsidRPr="004B77D6">
        <w:rPr>
          <w:rFonts w:asciiTheme="minorHAnsi" w:hAnsiTheme="minorHAnsi" w:cstheme="minorHAnsi"/>
          <w:szCs w:val="24"/>
        </w:rPr>
        <w:t>jeden rok załącza kopi</w:t>
      </w:r>
      <w:r w:rsidR="001164DF" w:rsidRPr="004B77D6">
        <w:rPr>
          <w:rFonts w:asciiTheme="minorHAnsi" w:hAnsiTheme="minorHAnsi" w:cstheme="minorHAnsi"/>
          <w:szCs w:val="24"/>
        </w:rPr>
        <w:t>ę</w:t>
      </w:r>
      <w:r w:rsidRPr="004B77D6">
        <w:rPr>
          <w:rFonts w:asciiTheme="minorHAnsi" w:hAnsiTheme="minorHAnsi" w:cstheme="minorHAnsi"/>
          <w:szCs w:val="24"/>
        </w:rPr>
        <w:t xml:space="preserve"> podjętej uchwały w sprawie uchwalenia Wieloletnie</w:t>
      </w:r>
      <w:r w:rsidR="00EF01A2" w:rsidRPr="004B77D6">
        <w:rPr>
          <w:rFonts w:asciiTheme="minorHAnsi" w:hAnsiTheme="minorHAnsi" w:cstheme="minorHAnsi"/>
          <w:szCs w:val="24"/>
        </w:rPr>
        <w:t>j</w:t>
      </w:r>
      <w:r w:rsidRPr="004B77D6">
        <w:rPr>
          <w:rFonts w:asciiTheme="minorHAnsi" w:hAnsiTheme="minorHAnsi" w:cstheme="minorHAnsi"/>
          <w:szCs w:val="24"/>
        </w:rPr>
        <w:t xml:space="preserve"> </w:t>
      </w:r>
      <w:r w:rsidR="00EF01A2" w:rsidRPr="004B77D6">
        <w:rPr>
          <w:rFonts w:asciiTheme="minorHAnsi" w:hAnsiTheme="minorHAnsi" w:cstheme="minorHAnsi"/>
          <w:szCs w:val="24"/>
        </w:rPr>
        <w:t>Prognozy Finansowej</w:t>
      </w:r>
      <w:r w:rsidRPr="004B77D6">
        <w:rPr>
          <w:rFonts w:asciiTheme="minorHAnsi" w:hAnsiTheme="minorHAnsi" w:cstheme="minorHAnsi"/>
          <w:szCs w:val="24"/>
        </w:rPr>
        <w:t xml:space="preserve"> na lata realizacji projektu wraz z Wieloletni</w:t>
      </w:r>
      <w:r w:rsidR="00EF01A2" w:rsidRPr="004B77D6">
        <w:rPr>
          <w:rFonts w:asciiTheme="minorHAnsi" w:hAnsiTheme="minorHAnsi" w:cstheme="minorHAnsi"/>
          <w:szCs w:val="24"/>
        </w:rPr>
        <w:t>ą</w:t>
      </w:r>
      <w:r w:rsidRPr="004B77D6">
        <w:rPr>
          <w:rFonts w:asciiTheme="minorHAnsi" w:hAnsiTheme="minorHAnsi" w:cstheme="minorHAnsi"/>
          <w:szCs w:val="24"/>
        </w:rPr>
        <w:t xml:space="preserve"> P</w:t>
      </w:r>
      <w:r w:rsidR="00EF01A2" w:rsidRPr="004B77D6">
        <w:rPr>
          <w:rFonts w:asciiTheme="minorHAnsi" w:hAnsiTheme="minorHAnsi" w:cstheme="minorHAnsi"/>
          <w:szCs w:val="24"/>
        </w:rPr>
        <w:t>rognozą Finansową</w:t>
      </w:r>
      <w:r w:rsidRPr="004B77D6">
        <w:rPr>
          <w:rFonts w:asciiTheme="minorHAnsi" w:hAnsiTheme="minorHAnsi" w:cstheme="minorHAnsi"/>
          <w:szCs w:val="24"/>
        </w:rPr>
        <w:t xml:space="preserve"> stanowiąc</w:t>
      </w:r>
      <w:r w:rsidR="00EF01A2" w:rsidRPr="004B77D6">
        <w:rPr>
          <w:rFonts w:asciiTheme="minorHAnsi" w:hAnsiTheme="minorHAnsi" w:cstheme="minorHAnsi"/>
          <w:szCs w:val="24"/>
        </w:rPr>
        <w:t>ą</w:t>
      </w:r>
      <w:r w:rsidRPr="004B77D6">
        <w:rPr>
          <w:rFonts w:asciiTheme="minorHAnsi" w:hAnsiTheme="minorHAnsi" w:cstheme="minorHAnsi"/>
          <w:szCs w:val="24"/>
        </w:rPr>
        <w:t xml:space="preserve"> załącznik do uchwały budżetowej. W uchwale powinna być wymieniona </w:t>
      </w:r>
      <w:r w:rsidRPr="004B77D6">
        <w:rPr>
          <w:rFonts w:asciiTheme="minorHAnsi" w:hAnsiTheme="minorHAnsi" w:cstheme="minorHAnsi"/>
          <w:b/>
          <w:szCs w:val="24"/>
        </w:rPr>
        <w:t>dokładna nazwa zadania objętego wnioskiem oraz podana kwota przeznaczona na finansowanie w poszczególnych latach.</w:t>
      </w:r>
      <w:r w:rsidRPr="004B77D6">
        <w:rPr>
          <w:rFonts w:asciiTheme="minorHAnsi" w:hAnsiTheme="minorHAnsi" w:cstheme="minorHAnsi"/>
          <w:szCs w:val="24"/>
        </w:rPr>
        <w:t xml:space="preserve"> Do celów potwierdzenia zabezpieczenia środków w budżecie jednostki wystarczające jest przedstawien</w:t>
      </w:r>
      <w:r w:rsidR="003333F0">
        <w:rPr>
          <w:rFonts w:asciiTheme="minorHAnsi" w:hAnsiTheme="minorHAnsi" w:cstheme="minorHAnsi"/>
          <w:szCs w:val="24"/>
        </w:rPr>
        <w:t>ie strony wydatkowej budżetu. IZ</w:t>
      </w:r>
      <w:r w:rsidRPr="004B77D6">
        <w:rPr>
          <w:rFonts w:asciiTheme="minorHAnsi" w:hAnsiTheme="minorHAnsi" w:cstheme="minorHAnsi"/>
          <w:szCs w:val="24"/>
        </w:rPr>
        <w:t xml:space="preserve"> nie planuje analizować w jaki sposób wydatki JST przewidziane w budżecie do realizacji są równoważone po stronie dochodowej budżetu. </w:t>
      </w:r>
      <w:r w:rsidRPr="004B77D6">
        <w:rPr>
          <w:rFonts w:asciiTheme="minorHAnsi" w:hAnsiTheme="minorHAnsi" w:cstheme="minorHAnsi"/>
          <w:b/>
          <w:szCs w:val="24"/>
        </w:rPr>
        <w:t xml:space="preserve">Należy jednak pamiętać, że podstawą do wprowadzenia środków dotacji </w:t>
      </w:r>
      <w:r w:rsidR="00A96A75" w:rsidRPr="004B77D6">
        <w:rPr>
          <w:rFonts w:asciiTheme="minorHAnsi" w:hAnsiTheme="minorHAnsi" w:cstheme="minorHAnsi"/>
          <w:b/>
          <w:szCs w:val="24"/>
        </w:rPr>
        <w:t xml:space="preserve">celowej </w:t>
      </w:r>
      <w:r w:rsidRPr="004B77D6">
        <w:rPr>
          <w:rFonts w:asciiTheme="minorHAnsi" w:hAnsiTheme="minorHAnsi" w:cstheme="minorHAnsi"/>
          <w:b/>
          <w:szCs w:val="24"/>
        </w:rPr>
        <w:t xml:space="preserve">do strony dochodowej budżetu jednostki jest dopiero </w:t>
      </w:r>
      <w:r w:rsidR="0071603D" w:rsidRPr="004B77D6">
        <w:rPr>
          <w:rFonts w:asciiTheme="minorHAnsi" w:hAnsiTheme="minorHAnsi" w:cstheme="minorHAnsi"/>
          <w:b/>
          <w:szCs w:val="24"/>
        </w:rPr>
        <w:t xml:space="preserve">decyzja </w:t>
      </w:r>
      <w:r w:rsidRPr="004B77D6">
        <w:rPr>
          <w:rFonts w:asciiTheme="minorHAnsi" w:hAnsiTheme="minorHAnsi" w:cstheme="minorHAnsi"/>
          <w:b/>
          <w:szCs w:val="24"/>
        </w:rPr>
        <w:t>o dofinansowanie projektu.</w:t>
      </w:r>
    </w:p>
    <w:p w14:paraId="45C1A1AD" w14:textId="0F405883" w:rsidR="00A06439" w:rsidRPr="004B77D6"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4B77D6">
        <w:rPr>
          <w:rFonts w:asciiTheme="minorHAnsi" w:hAnsiTheme="minorHAnsi" w:cstheme="minorHAnsi"/>
          <w:b/>
          <w:szCs w:val="24"/>
        </w:rPr>
        <w:lastRenderedPageBreak/>
        <w:t>Państwowa jednostka budżetowa</w:t>
      </w:r>
      <w:r w:rsidRPr="004B77D6">
        <w:rPr>
          <w:rFonts w:asciiTheme="minorHAnsi" w:hAnsiTheme="minorHAnsi" w:cstheme="minorHAnsi"/>
          <w:szCs w:val="24"/>
        </w:rPr>
        <w:t xml:space="preserve"> zgodnie z </w:t>
      </w:r>
      <w:r w:rsidR="00F15F98" w:rsidRPr="004B77D6">
        <w:rPr>
          <w:rFonts w:asciiTheme="minorHAnsi" w:hAnsiTheme="minorHAnsi" w:cstheme="minorHAnsi"/>
          <w:szCs w:val="24"/>
        </w:rPr>
        <w:t>Ustawą</w:t>
      </w:r>
      <w:r w:rsidR="001164DF" w:rsidRPr="004B77D6">
        <w:rPr>
          <w:rFonts w:asciiTheme="minorHAnsi" w:hAnsiTheme="minorHAnsi" w:cstheme="minorHAnsi"/>
          <w:szCs w:val="24"/>
        </w:rPr>
        <w:t xml:space="preserve"> z dnia 27 sierpnia 2009 r. </w:t>
      </w:r>
      <w:r w:rsidR="0064104A">
        <w:rPr>
          <w:rFonts w:asciiTheme="minorHAnsi" w:hAnsiTheme="minorHAnsi" w:cstheme="minorHAnsi"/>
          <w:szCs w:val="24"/>
        </w:rPr>
        <w:br/>
      </w:r>
      <w:r w:rsidR="001164DF" w:rsidRPr="004B77D6">
        <w:rPr>
          <w:rFonts w:asciiTheme="minorHAnsi" w:hAnsiTheme="minorHAnsi" w:cstheme="minorHAnsi"/>
          <w:szCs w:val="24"/>
        </w:rPr>
        <w:t>o finansach publicznych (</w:t>
      </w:r>
      <w:proofErr w:type="spellStart"/>
      <w:r w:rsidR="008A220A" w:rsidRPr="004B77D6">
        <w:rPr>
          <w:rFonts w:asciiTheme="minorHAnsi" w:hAnsiTheme="minorHAnsi" w:cstheme="minorHAnsi"/>
          <w:szCs w:val="24"/>
        </w:rPr>
        <w:t>t.j</w:t>
      </w:r>
      <w:proofErr w:type="spellEnd"/>
      <w:r w:rsidR="008A220A" w:rsidRPr="004B77D6">
        <w:rPr>
          <w:rFonts w:asciiTheme="minorHAnsi" w:hAnsiTheme="minorHAnsi" w:cstheme="minorHAnsi"/>
          <w:szCs w:val="24"/>
        </w:rPr>
        <w:t>. Dz. U. z 202</w:t>
      </w:r>
      <w:r w:rsidR="00A025D6">
        <w:rPr>
          <w:rFonts w:asciiTheme="minorHAnsi" w:hAnsiTheme="minorHAnsi" w:cstheme="minorHAnsi"/>
          <w:szCs w:val="24"/>
        </w:rPr>
        <w:t>3</w:t>
      </w:r>
      <w:r w:rsidR="008A220A" w:rsidRPr="004B77D6">
        <w:rPr>
          <w:rFonts w:asciiTheme="minorHAnsi" w:hAnsiTheme="minorHAnsi" w:cstheme="minorHAnsi"/>
          <w:szCs w:val="24"/>
        </w:rPr>
        <w:t xml:space="preserve"> r.</w:t>
      </w:r>
      <w:r w:rsidR="00A025D6">
        <w:rPr>
          <w:rFonts w:asciiTheme="minorHAnsi" w:hAnsiTheme="minorHAnsi" w:cstheme="minorHAnsi"/>
          <w:szCs w:val="24"/>
        </w:rPr>
        <w:t>,</w:t>
      </w:r>
      <w:r w:rsidR="008A220A" w:rsidRPr="004B77D6">
        <w:rPr>
          <w:rFonts w:asciiTheme="minorHAnsi" w:hAnsiTheme="minorHAnsi" w:cstheme="minorHAnsi"/>
          <w:szCs w:val="24"/>
        </w:rPr>
        <w:t xml:space="preserve"> poz. </w:t>
      </w:r>
      <w:r w:rsidR="00A025D6">
        <w:rPr>
          <w:rFonts w:asciiTheme="minorHAnsi" w:hAnsiTheme="minorHAnsi" w:cstheme="minorHAnsi"/>
          <w:szCs w:val="24"/>
        </w:rPr>
        <w:t>1270</w:t>
      </w:r>
      <w:r w:rsidR="007D6AD4">
        <w:rPr>
          <w:rFonts w:asciiTheme="minorHAnsi" w:hAnsiTheme="minorHAnsi" w:cstheme="minorHAnsi"/>
          <w:szCs w:val="24"/>
        </w:rPr>
        <w:t xml:space="preserve"> ze zm.</w:t>
      </w:r>
      <w:r w:rsidR="008A220A" w:rsidRPr="004B77D6">
        <w:rPr>
          <w:rFonts w:asciiTheme="minorHAnsi" w:hAnsiTheme="minorHAnsi" w:cstheme="minorHAnsi"/>
          <w:szCs w:val="24"/>
        </w:rPr>
        <w:t xml:space="preserve">) </w:t>
      </w:r>
      <w:r w:rsidRPr="004B77D6">
        <w:rPr>
          <w:rFonts w:asciiTheme="minorHAnsi" w:hAnsiTheme="minorHAnsi" w:cstheme="minorHAnsi"/>
          <w:szCs w:val="24"/>
        </w:rPr>
        <w:t>jako</w:t>
      </w:r>
      <w:r w:rsidRPr="004B77D6">
        <w:rPr>
          <w:rFonts w:asciiTheme="minorHAnsi" w:hAnsiTheme="minorHAnsi" w:cstheme="minorHAnsi"/>
          <w:b/>
          <w:szCs w:val="24"/>
        </w:rPr>
        <w:t xml:space="preserve"> </w:t>
      </w:r>
      <w:r w:rsidRPr="004B77D6">
        <w:rPr>
          <w:rFonts w:asciiTheme="minorHAnsi" w:hAnsiTheme="minorHAnsi" w:cstheme="minorHAnsi"/>
          <w:szCs w:val="24"/>
        </w:rPr>
        <w:t>dokument potwierdzający posiadanie środków na realizację projektu załącza plan dochodów i wydatków danej jednostki budżetowej</w:t>
      </w:r>
      <w:r w:rsidR="001164DF" w:rsidRPr="004B77D6">
        <w:rPr>
          <w:rFonts w:asciiTheme="minorHAnsi" w:hAnsiTheme="minorHAnsi" w:cstheme="minorHAnsi"/>
          <w:szCs w:val="24"/>
        </w:rPr>
        <w:t>,</w:t>
      </w:r>
      <w:r w:rsidRPr="004B77D6">
        <w:rPr>
          <w:rFonts w:asciiTheme="minorHAnsi" w:hAnsiTheme="minorHAnsi" w:cstheme="minorHAnsi"/>
          <w:szCs w:val="24"/>
        </w:rPr>
        <w:t xml:space="preserve"> zwany planem finansowym jednostki budżetowej, który przewiduje pokrycie wkładu własnego zgodnie z montażem finansowym zawartym we wniosku. W przypadku</w:t>
      </w:r>
      <w:r w:rsidR="001164DF" w:rsidRPr="004B77D6">
        <w:rPr>
          <w:rFonts w:asciiTheme="minorHAnsi" w:hAnsiTheme="minorHAnsi" w:cstheme="minorHAnsi"/>
          <w:szCs w:val="24"/>
        </w:rPr>
        <w:t>,</w:t>
      </w:r>
      <w:r w:rsidRPr="004B77D6">
        <w:rPr>
          <w:rFonts w:asciiTheme="minorHAnsi" w:hAnsiTheme="minorHAnsi" w:cstheme="minorHAnsi"/>
          <w:szCs w:val="24"/>
        </w:rPr>
        <w:t xml:space="preserve"> gdy okres realizacji projektu jest dłuższy niż rok zabezpieczenie środków jest możliwe za pomocą planów wieloletnich stanowiących załącznik do uchwały budżetowej.</w:t>
      </w:r>
    </w:p>
    <w:p w14:paraId="3064403E" w14:textId="25C846DB" w:rsidR="00A06439" w:rsidRPr="004B77D6"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4B77D6">
        <w:rPr>
          <w:rFonts w:asciiTheme="minorHAnsi" w:hAnsiTheme="minorHAnsi" w:cstheme="minorHAnsi"/>
          <w:szCs w:val="24"/>
        </w:rPr>
        <w:t>W przypadku</w:t>
      </w:r>
      <w:r w:rsidRPr="004B77D6">
        <w:rPr>
          <w:rFonts w:asciiTheme="minorHAnsi" w:hAnsiTheme="minorHAnsi" w:cstheme="minorHAnsi"/>
          <w:b/>
          <w:szCs w:val="24"/>
        </w:rPr>
        <w:t xml:space="preserve"> Kościelnych osób prawnych i organów działających w imieniu tych osób </w:t>
      </w:r>
      <w:r w:rsidRPr="004B77D6">
        <w:rPr>
          <w:rFonts w:asciiTheme="minorHAnsi" w:hAnsiTheme="minorHAnsi" w:cstheme="minorHAnsi"/>
          <w:szCs w:val="24"/>
        </w:rPr>
        <w:t>określenie dokumentu, który może stanowić potwierdzenie zabezpieczenia środków jest zależne od przepisów regulujących funkcjonowanie danego kościoła</w:t>
      </w:r>
      <w:r w:rsidR="005D5238">
        <w:rPr>
          <w:rFonts w:asciiTheme="minorHAnsi" w:hAnsiTheme="minorHAnsi" w:cstheme="minorHAnsi"/>
          <w:szCs w:val="24"/>
        </w:rPr>
        <w:t xml:space="preserve"> </w:t>
      </w:r>
      <w:r w:rsidR="005D5238" w:rsidRPr="00B14FBF">
        <w:rPr>
          <w:rFonts w:asciiTheme="minorHAnsi" w:hAnsiTheme="minorHAnsi" w:cstheme="minorHAnsi"/>
          <w:szCs w:val="24"/>
        </w:rPr>
        <w:t>/innych związków wyznaniowych</w:t>
      </w:r>
      <w:r w:rsidRPr="00B14FBF">
        <w:rPr>
          <w:rFonts w:asciiTheme="minorHAnsi" w:hAnsiTheme="minorHAnsi" w:cstheme="minorHAnsi"/>
          <w:szCs w:val="24"/>
        </w:rPr>
        <w:t xml:space="preserve">. </w:t>
      </w:r>
      <w:r w:rsidRPr="004B77D6">
        <w:rPr>
          <w:rFonts w:asciiTheme="minorHAnsi" w:hAnsiTheme="minorHAnsi" w:cstheme="minorHAnsi"/>
          <w:szCs w:val="24"/>
        </w:rPr>
        <w:t xml:space="preserve">Kościelne osoby prawne i organy uprawnione do działania w imieniu tych osób określają właściwe przepisy prawa polskiego i prawa wewnętrznego </w:t>
      </w:r>
      <w:r w:rsidR="005D5238" w:rsidRPr="00B14FBF">
        <w:rPr>
          <w:rFonts w:asciiTheme="minorHAnsi" w:hAnsiTheme="minorHAnsi" w:cstheme="minorHAnsi"/>
          <w:szCs w:val="24"/>
        </w:rPr>
        <w:t>kościoła/ innych związków wyznaniowych</w:t>
      </w:r>
      <w:r w:rsidR="005D5238" w:rsidRPr="004B77D6">
        <w:rPr>
          <w:rFonts w:asciiTheme="minorHAnsi" w:hAnsiTheme="minorHAnsi" w:cstheme="minorHAnsi"/>
          <w:szCs w:val="24"/>
        </w:rPr>
        <w:t xml:space="preserve">. </w:t>
      </w:r>
      <w:r w:rsidRPr="004B77D6">
        <w:rPr>
          <w:rFonts w:asciiTheme="minorHAnsi" w:hAnsiTheme="minorHAnsi" w:cstheme="minorHAnsi"/>
          <w:szCs w:val="24"/>
        </w:rPr>
        <w:t xml:space="preserve">W przypadku kościołów i </w:t>
      </w:r>
      <w:r w:rsidR="005D5238">
        <w:rPr>
          <w:rFonts w:asciiTheme="minorHAnsi" w:hAnsiTheme="minorHAnsi" w:cstheme="minorHAnsi"/>
          <w:szCs w:val="24"/>
        </w:rPr>
        <w:t xml:space="preserve">innych </w:t>
      </w:r>
      <w:r w:rsidRPr="004B77D6">
        <w:rPr>
          <w:rFonts w:asciiTheme="minorHAnsi" w:hAnsiTheme="minorHAnsi" w:cstheme="minorHAnsi"/>
          <w:szCs w:val="24"/>
        </w:rPr>
        <w:t>związków wyznaniowych organy te wymieniane są w ustawach r</w:t>
      </w:r>
      <w:r w:rsidR="00857620" w:rsidRPr="004B77D6">
        <w:rPr>
          <w:rFonts w:asciiTheme="minorHAnsi" w:hAnsiTheme="minorHAnsi" w:cstheme="minorHAnsi"/>
          <w:szCs w:val="24"/>
        </w:rPr>
        <w:t>egulujących stosunek Państwa do </w:t>
      </w:r>
      <w:r w:rsidRPr="004B77D6">
        <w:rPr>
          <w:rFonts w:asciiTheme="minorHAnsi" w:hAnsiTheme="minorHAnsi" w:cstheme="minorHAnsi"/>
          <w:szCs w:val="24"/>
        </w:rPr>
        <w:t xml:space="preserve">kościołów i związków wyznaniowych. </w:t>
      </w:r>
      <w:r w:rsidR="005B2988" w:rsidRPr="004B77D6">
        <w:rPr>
          <w:rFonts w:asciiTheme="minorHAnsi" w:hAnsiTheme="minorHAnsi" w:cstheme="minorHAnsi"/>
          <w:szCs w:val="24"/>
        </w:rPr>
        <w:br/>
      </w:r>
      <w:r w:rsidRPr="004B77D6">
        <w:rPr>
          <w:rFonts w:asciiTheme="minorHAnsi" w:hAnsiTheme="minorHAnsi" w:cstheme="minorHAnsi"/>
          <w:szCs w:val="24"/>
        </w:rPr>
        <w:t>W pozostałych przypadkach są to organy ujawnione w rejestrze MSWiA.</w:t>
      </w:r>
    </w:p>
    <w:p w14:paraId="11014E90" w14:textId="0F530DB6" w:rsidR="00A06439" w:rsidRPr="004B77D6" w:rsidRDefault="00A06439" w:rsidP="0071603D">
      <w:pPr>
        <w:spacing w:after="120" w:line="276" w:lineRule="auto"/>
        <w:ind w:left="708"/>
        <w:rPr>
          <w:rFonts w:asciiTheme="minorHAnsi" w:hAnsiTheme="minorHAnsi" w:cstheme="minorHAnsi"/>
          <w:szCs w:val="24"/>
        </w:rPr>
      </w:pPr>
      <w:r w:rsidRPr="004B77D6">
        <w:rPr>
          <w:rFonts w:asciiTheme="minorHAnsi" w:hAnsiTheme="minorHAnsi" w:cstheme="minorHAnsi"/>
          <w:szCs w:val="24"/>
        </w:rPr>
        <w:t>W przypadku</w:t>
      </w:r>
      <w:r w:rsidR="00EB1572" w:rsidRPr="004B77D6">
        <w:rPr>
          <w:rFonts w:asciiTheme="minorHAnsi" w:hAnsiTheme="minorHAnsi" w:cstheme="minorHAnsi"/>
          <w:szCs w:val="24"/>
        </w:rPr>
        <w:t>,</w:t>
      </w:r>
      <w:r w:rsidRPr="004B77D6">
        <w:rPr>
          <w:rFonts w:asciiTheme="minorHAnsi" w:hAnsiTheme="minorHAnsi" w:cstheme="minorHAnsi"/>
          <w:szCs w:val="24"/>
        </w:rPr>
        <w:t xml:space="preserve"> gdy z przepisów regulujących funkcjonowanie danego kościoła lub związku wyznaniowego wynika, że w imieniu kościelnej osoby prawnej występuje organ jednoosobowy (np. biskup, proboszcz) wówczas wymaganym dokumentem będzie oświadczenie danego organu. Natomiast</w:t>
      </w:r>
      <w:r w:rsidR="00EB1572" w:rsidRPr="004B77D6">
        <w:rPr>
          <w:rFonts w:asciiTheme="minorHAnsi" w:hAnsiTheme="minorHAnsi" w:cstheme="minorHAnsi"/>
          <w:szCs w:val="24"/>
        </w:rPr>
        <w:t>,</w:t>
      </w:r>
      <w:r w:rsidRPr="004B77D6">
        <w:rPr>
          <w:rFonts w:asciiTheme="minorHAnsi" w:hAnsiTheme="minorHAnsi" w:cstheme="minorHAnsi"/>
          <w:szCs w:val="24"/>
        </w:rPr>
        <w:t xml:space="preserve"> gdy z odrębnych przepisów regulujących funkcjonowanie danego kościoła lub </w:t>
      </w:r>
      <w:r w:rsidR="005D5238">
        <w:rPr>
          <w:rFonts w:asciiTheme="minorHAnsi" w:hAnsiTheme="minorHAnsi" w:cstheme="minorHAnsi"/>
          <w:szCs w:val="24"/>
        </w:rPr>
        <w:t xml:space="preserve">innych </w:t>
      </w:r>
      <w:r w:rsidRPr="004B77D6">
        <w:rPr>
          <w:rFonts w:asciiTheme="minorHAnsi" w:hAnsiTheme="minorHAnsi" w:cstheme="minorHAnsi"/>
          <w:szCs w:val="24"/>
        </w:rPr>
        <w:t>związk</w:t>
      </w:r>
      <w:r w:rsidR="005D5238">
        <w:rPr>
          <w:rFonts w:asciiTheme="minorHAnsi" w:hAnsiTheme="minorHAnsi" w:cstheme="minorHAnsi"/>
          <w:szCs w:val="24"/>
        </w:rPr>
        <w:t>ów wyznaniowych</w:t>
      </w:r>
      <w:r w:rsidRPr="004B77D6">
        <w:rPr>
          <w:rFonts w:asciiTheme="minorHAnsi" w:hAnsiTheme="minorHAnsi" w:cstheme="minorHAnsi"/>
          <w:szCs w:val="24"/>
        </w:rPr>
        <w:t xml:space="preserve"> wynika, że organem właściwym do postępowania w imieniu kościelnej osoby prawnej jest organ kolegialny (np. synod, r</w:t>
      </w:r>
      <w:r w:rsidR="0039660C" w:rsidRPr="004B77D6">
        <w:rPr>
          <w:rFonts w:asciiTheme="minorHAnsi" w:hAnsiTheme="minorHAnsi" w:cstheme="minorHAnsi"/>
          <w:szCs w:val="24"/>
        </w:rPr>
        <w:t>ada parafialna) wówczas właściwą</w:t>
      </w:r>
      <w:r w:rsidRPr="004B77D6">
        <w:rPr>
          <w:rFonts w:asciiTheme="minorHAnsi" w:hAnsiTheme="minorHAnsi" w:cstheme="minorHAnsi"/>
          <w:szCs w:val="24"/>
        </w:rPr>
        <w:t xml:space="preserve"> formą działania takiego organu będzie uchwa</w:t>
      </w:r>
      <w:r w:rsidR="00DD0F46" w:rsidRPr="004B77D6">
        <w:rPr>
          <w:rFonts w:asciiTheme="minorHAnsi" w:hAnsiTheme="minorHAnsi" w:cstheme="minorHAnsi"/>
          <w:szCs w:val="24"/>
        </w:rPr>
        <w:t>ł</w:t>
      </w:r>
      <w:r w:rsidRPr="004B77D6">
        <w:rPr>
          <w:rFonts w:asciiTheme="minorHAnsi" w:hAnsiTheme="minorHAnsi" w:cstheme="minorHAnsi"/>
          <w:szCs w:val="24"/>
        </w:rPr>
        <w:t>a.</w:t>
      </w:r>
    </w:p>
    <w:p w14:paraId="7A2F9B16" w14:textId="77777777" w:rsidR="00F15F98" w:rsidRPr="004B77D6" w:rsidRDefault="00A06439" w:rsidP="0071603D">
      <w:pPr>
        <w:numPr>
          <w:ilvl w:val="0"/>
          <w:numId w:val="5"/>
        </w:numPr>
        <w:tabs>
          <w:tab w:val="num" w:pos="720"/>
        </w:tabs>
        <w:suppressAutoHyphens w:val="0"/>
        <w:autoSpaceDE w:val="0"/>
        <w:autoSpaceDN w:val="0"/>
        <w:adjustRightInd w:val="0"/>
        <w:spacing w:after="120" w:line="276" w:lineRule="auto"/>
        <w:ind w:left="709" w:hanging="345"/>
        <w:rPr>
          <w:rFonts w:asciiTheme="minorHAnsi" w:hAnsiTheme="minorHAnsi" w:cstheme="minorHAnsi"/>
          <w:szCs w:val="24"/>
        </w:rPr>
      </w:pPr>
      <w:r w:rsidRPr="004B77D6">
        <w:rPr>
          <w:rFonts w:asciiTheme="minorHAnsi" w:hAnsiTheme="minorHAnsi" w:cstheme="minorHAnsi"/>
          <w:szCs w:val="24"/>
        </w:rPr>
        <w:t xml:space="preserve">W przypadku </w:t>
      </w:r>
      <w:r w:rsidRPr="004B77D6">
        <w:rPr>
          <w:rFonts w:asciiTheme="minorHAnsi" w:hAnsiTheme="minorHAnsi" w:cstheme="minorHAnsi"/>
          <w:b/>
          <w:szCs w:val="24"/>
        </w:rPr>
        <w:t xml:space="preserve">pozostałych kategorii </w:t>
      </w:r>
      <w:r w:rsidR="00A721F7" w:rsidRPr="004B77D6">
        <w:rPr>
          <w:rFonts w:asciiTheme="minorHAnsi" w:hAnsiTheme="minorHAnsi" w:cstheme="minorHAnsi"/>
          <w:b/>
          <w:szCs w:val="24"/>
        </w:rPr>
        <w:t>W</w:t>
      </w:r>
      <w:r w:rsidR="007A78CA" w:rsidRPr="004B77D6">
        <w:rPr>
          <w:rFonts w:asciiTheme="minorHAnsi" w:hAnsiTheme="minorHAnsi" w:cstheme="minorHAnsi"/>
          <w:b/>
          <w:szCs w:val="24"/>
        </w:rPr>
        <w:t>nioskodawców</w:t>
      </w:r>
      <w:r w:rsidRPr="004B77D6">
        <w:rPr>
          <w:rFonts w:asciiTheme="minorHAnsi" w:hAnsiTheme="minorHAnsi" w:cstheme="minorHAnsi"/>
          <w:szCs w:val="24"/>
        </w:rPr>
        <w:t xml:space="preserve"> do wniosk</w:t>
      </w:r>
      <w:r w:rsidR="00F15F98" w:rsidRPr="004B77D6">
        <w:rPr>
          <w:rFonts w:asciiTheme="minorHAnsi" w:hAnsiTheme="minorHAnsi" w:cstheme="minorHAnsi"/>
          <w:szCs w:val="24"/>
        </w:rPr>
        <w:t>u aplikacyjnego należy załączyć:</w:t>
      </w:r>
    </w:p>
    <w:p w14:paraId="0F5DA4B7" w14:textId="77777777" w:rsidR="00F15F98" w:rsidRPr="004B77D6" w:rsidRDefault="00F15F98" w:rsidP="0071603D">
      <w:pPr>
        <w:pStyle w:val="Akapitzlist"/>
        <w:spacing w:after="120"/>
        <w:ind w:left="1428"/>
        <w:contextualSpacing/>
        <w:rPr>
          <w:rFonts w:asciiTheme="minorHAnsi" w:hAnsiTheme="minorHAnsi" w:cstheme="minorHAnsi"/>
          <w:sz w:val="24"/>
          <w:szCs w:val="24"/>
          <w:lang w:eastAsia="pl-PL"/>
        </w:rPr>
      </w:pPr>
      <w:r w:rsidRPr="004B77D6">
        <w:rPr>
          <w:rFonts w:asciiTheme="minorHAnsi" w:hAnsiTheme="minorHAnsi" w:cstheme="minorHAnsi"/>
          <w:sz w:val="24"/>
          <w:szCs w:val="24"/>
          <w:lang w:val="pl-PL"/>
        </w:rPr>
        <w:t xml:space="preserve">- </w:t>
      </w:r>
      <w:r w:rsidRPr="004B77D6">
        <w:rPr>
          <w:rFonts w:asciiTheme="minorHAnsi" w:hAnsiTheme="minorHAnsi" w:cstheme="minorHAnsi"/>
          <w:sz w:val="24"/>
          <w:szCs w:val="24"/>
        </w:rPr>
        <w:t>W wypadku zamiaru zaci</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gni</w:t>
      </w:r>
      <w:r w:rsidRPr="004B77D6">
        <w:rPr>
          <w:rFonts w:asciiTheme="minorHAnsi" w:eastAsia="TimesNewRoman" w:hAnsiTheme="minorHAnsi" w:cstheme="minorHAnsi"/>
          <w:sz w:val="24"/>
          <w:szCs w:val="24"/>
        </w:rPr>
        <w:t>ę</w:t>
      </w:r>
      <w:r w:rsidRPr="004B77D6">
        <w:rPr>
          <w:rFonts w:asciiTheme="minorHAnsi" w:hAnsiTheme="minorHAnsi" w:cstheme="minorHAnsi"/>
          <w:sz w:val="24"/>
          <w:szCs w:val="24"/>
        </w:rPr>
        <w:t xml:space="preserve">cia </w:t>
      </w:r>
      <w:r w:rsidRPr="004B77D6">
        <w:rPr>
          <w:rFonts w:asciiTheme="minorHAnsi" w:hAnsiTheme="minorHAnsi" w:cstheme="minorHAnsi"/>
          <w:b/>
          <w:sz w:val="24"/>
          <w:szCs w:val="24"/>
        </w:rPr>
        <w:t>kredytu</w:t>
      </w:r>
      <w:r w:rsidRPr="004B77D6">
        <w:rPr>
          <w:rFonts w:asciiTheme="minorHAnsi" w:hAnsiTheme="minorHAnsi" w:cstheme="minorHAnsi"/>
          <w:sz w:val="24"/>
          <w:szCs w:val="24"/>
        </w:rPr>
        <w:t xml:space="preserve"> na realizację projektu nale</w:t>
      </w:r>
      <w:r w:rsidRPr="004B77D6">
        <w:rPr>
          <w:rFonts w:asciiTheme="minorHAnsi" w:eastAsia="TimesNewRoman" w:hAnsiTheme="minorHAnsi" w:cstheme="minorHAnsi"/>
          <w:sz w:val="24"/>
          <w:szCs w:val="24"/>
        </w:rPr>
        <w:t>ż</w:t>
      </w:r>
      <w:r w:rsidRPr="004B77D6">
        <w:rPr>
          <w:rFonts w:asciiTheme="minorHAnsi" w:hAnsiTheme="minorHAnsi" w:cstheme="minorHAnsi"/>
          <w:sz w:val="24"/>
          <w:szCs w:val="24"/>
        </w:rPr>
        <w:t>y przedstawi</w:t>
      </w:r>
      <w:r w:rsidRPr="004B77D6">
        <w:rPr>
          <w:rFonts w:asciiTheme="minorHAnsi" w:eastAsia="TimesNewRoman" w:hAnsiTheme="minorHAnsi" w:cstheme="minorHAnsi"/>
          <w:sz w:val="24"/>
          <w:szCs w:val="24"/>
        </w:rPr>
        <w:t xml:space="preserve">ć </w:t>
      </w:r>
      <w:r w:rsidRPr="004B77D6">
        <w:rPr>
          <w:rFonts w:asciiTheme="minorHAnsi" w:hAnsiTheme="minorHAnsi" w:cstheme="minorHAnsi"/>
          <w:sz w:val="24"/>
          <w:szCs w:val="24"/>
        </w:rPr>
        <w:t>promes</w:t>
      </w:r>
      <w:r w:rsidRPr="004B77D6">
        <w:rPr>
          <w:rFonts w:asciiTheme="minorHAnsi" w:eastAsia="TimesNewRoman" w:hAnsiTheme="minorHAnsi" w:cstheme="minorHAnsi"/>
          <w:sz w:val="24"/>
          <w:szCs w:val="24"/>
        </w:rPr>
        <w:t xml:space="preserve">ę </w:t>
      </w:r>
      <w:r w:rsidRPr="004B77D6">
        <w:rPr>
          <w:rFonts w:asciiTheme="minorHAnsi" w:hAnsiTheme="minorHAnsi" w:cstheme="minorHAnsi"/>
          <w:sz w:val="24"/>
          <w:szCs w:val="24"/>
        </w:rPr>
        <w:t>kredytow</w:t>
      </w:r>
      <w:r w:rsidRPr="004B77D6">
        <w:rPr>
          <w:rFonts w:asciiTheme="minorHAnsi" w:eastAsia="TimesNewRoman" w:hAnsiTheme="minorHAnsi" w:cstheme="minorHAnsi"/>
          <w:sz w:val="24"/>
          <w:szCs w:val="24"/>
        </w:rPr>
        <w:t xml:space="preserve">ą </w:t>
      </w:r>
      <w:r w:rsidRPr="004B77D6">
        <w:rPr>
          <w:rFonts w:asciiTheme="minorHAnsi" w:hAnsiTheme="minorHAnsi" w:cstheme="minorHAnsi"/>
          <w:sz w:val="24"/>
          <w:szCs w:val="24"/>
        </w:rPr>
        <w:t>uzyskan</w:t>
      </w:r>
      <w:r w:rsidRPr="004B77D6">
        <w:rPr>
          <w:rFonts w:asciiTheme="minorHAnsi" w:eastAsia="TimesNewRoman" w:hAnsiTheme="minorHAnsi" w:cstheme="minorHAnsi"/>
          <w:sz w:val="24"/>
          <w:szCs w:val="24"/>
        </w:rPr>
        <w:t xml:space="preserve">ą </w:t>
      </w:r>
      <w:r w:rsidRPr="004B77D6">
        <w:rPr>
          <w:rFonts w:asciiTheme="minorHAnsi" w:hAnsiTheme="minorHAnsi" w:cstheme="minorHAnsi"/>
          <w:sz w:val="24"/>
          <w:szCs w:val="24"/>
        </w:rPr>
        <w:t>z banku zapewniaj</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c</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 i</w:t>
      </w:r>
      <w:r w:rsidRPr="004B77D6">
        <w:rPr>
          <w:rFonts w:asciiTheme="minorHAnsi" w:eastAsia="TimesNewRoman" w:hAnsiTheme="minorHAnsi" w:cstheme="minorHAnsi"/>
          <w:sz w:val="24"/>
          <w:szCs w:val="24"/>
        </w:rPr>
        <w:t xml:space="preserve">ż </w:t>
      </w:r>
      <w:r w:rsidRPr="004B77D6">
        <w:rPr>
          <w:rFonts w:asciiTheme="minorHAnsi" w:hAnsiTheme="minorHAnsi" w:cstheme="minorHAnsi"/>
          <w:sz w:val="24"/>
          <w:szCs w:val="24"/>
        </w:rPr>
        <w:t xml:space="preserve">w przypadku uzyskania dofinansowania </w:t>
      </w:r>
      <w:r w:rsidR="00A721F7" w:rsidRPr="004B77D6">
        <w:rPr>
          <w:rFonts w:asciiTheme="minorHAnsi" w:hAnsiTheme="minorHAnsi" w:cstheme="minorHAnsi"/>
          <w:sz w:val="24"/>
          <w:szCs w:val="24"/>
          <w:lang w:val="pl-PL"/>
        </w:rPr>
        <w:t>W</w:t>
      </w:r>
      <w:proofErr w:type="spellStart"/>
      <w:r w:rsidR="00FD7CF7" w:rsidRPr="004B77D6">
        <w:rPr>
          <w:rFonts w:asciiTheme="minorHAnsi" w:hAnsiTheme="minorHAnsi" w:cstheme="minorHAnsi"/>
          <w:sz w:val="24"/>
          <w:szCs w:val="24"/>
        </w:rPr>
        <w:t>nioskodawca</w:t>
      </w:r>
      <w:proofErr w:type="spellEnd"/>
      <w:r w:rsidRPr="004B77D6">
        <w:rPr>
          <w:rFonts w:asciiTheme="minorHAnsi" w:hAnsiTheme="minorHAnsi" w:cstheme="minorHAnsi"/>
          <w:sz w:val="24"/>
          <w:szCs w:val="24"/>
        </w:rPr>
        <w:t xml:space="preserve"> otrzyma </w:t>
      </w:r>
      <w:r w:rsidRPr="004B77D6">
        <w:rPr>
          <w:rFonts w:asciiTheme="minorHAnsi" w:eastAsia="TimesNewRoman" w:hAnsiTheme="minorHAnsi" w:cstheme="minorHAnsi"/>
          <w:sz w:val="24"/>
          <w:szCs w:val="24"/>
        </w:rPr>
        <w:t>ś</w:t>
      </w:r>
      <w:r w:rsidRPr="004B77D6">
        <w:rPr>
          <w:rFonts w:asciiTheme="minorHAnsi" w:hAnsiTheme="minorHAnsi" w:cstheme="minorHAnsi"/>
          <w:sz w:val="24"/>
          <w:szCs w:val="24"/>
        </w:rPr>
        <w:t xml:space="preserve">rodki na współfinansowanie inwestycji. </w:t>
      </w:r>
      <w:r w:rsidRPr="004B77D6">
        <w:rPr>
          <w:rFonts w:asciiTheme="minorHAnsi" w:eastAsia="TimesNewRoman" w:hAnsiTheme="minorHAnsi" w:cstheme="minorHAnsi"/>
          <w:sz w:val="24"/>
          <w:szCs w:val="24"/>
        </w:rPr>
        <w:t>Ś</w:t>
      </w:r>
      <w:r w:rsidRPr="004B77D6">
        <w:rPr>
          <w:rFonts w:asciiTheme="minorHAnsi" w:hAnsiTheme="minorHAnsi" w:cstheme="minorHAnsi"/>
          <w:sz w:val="24"/>
          <w:szCs w:val="24"/>
        </w:rPr>
        <w:t>rodki obj</w:t>
      </w:r>
      <w:r w:rsidRPr="004B77D6">
        <w:rPr>
          <w:rFonts w:asciiTheme="minorHAnsi" w:eastAsia="TimesNewRoman" w:hAnsiTheme="minorHAnsi" w:cstheme="minorHAnsi"/>
          <w:sz w:val="24"/>
          <w:szCs w:val="24"/>
        </w:rPr>
        <w:t>ę</w:t>
      </w:r>
      <w:r w:rsidRPr="004B77D6">
        <w:rPr>
          <w:rFonts w:asciiTheme="minorHAnsi" w:hAnsiTheme="minorHAnsi" w:cstheme="minorHAnsi"/>
          <w:sz w:val="24"/>
          <w:szCs w:val="24"/>
        </w:rPr>
        <w:t>te promes</w:t>
      </w:r>
      <w:r w:rsidRPr="004B77D6">
        <w:rPr>
          <w:rFonts w:asciiTheme="minorHAnsi" w:eastAsia="TimesNewRoman" w:hAnsiTheme="minorHAnsi" w:cstheme="minorHAnsi"/>
          <w:sz w:val="24"/>
          <w:szCs w:val="24"/>
        </w:rPr>
        <w:t xml:space="preserve">ą </w:t>
      </w:r>
      <w:r w:rsidRPr="004B77D6">
        <w:rPr>
          <w:rFonts w:asciiTheme="minorHAnsi" w:hAnsiTheme="minorHAnsi" w:cstheme="minorHAnsi"/>
          <w:sz w:val="24"/>
          <w:szCs w:val="24"/>
        </w:rPr>
        <w:t>powinny zosta</w:t>
      </w:r>
      <w:r w:rsidRPr="004B77D6">
        <w:rPr>
          <w:rFonts w:asciiTheme="minorHAnsi" w:eastAsia="TimesNewRoman" w:hAnsiTheme="minorHAnsi" w:cstheme="minorHAnsi"/>
          <w:sz w:val="24"/>
          <w:szCs w:val="24"/>
        </w:rPr>
        <w:t xml:space="preserve">ć </w:t>
      </w:r>
      <w:r w:rsidRPr="004B77D6">
        <w:rPr>
          <w:rFonts w:asciiTheme="minorHAnsi" w:hAnsiTheme="minorHAnsi" w:cstheme="minorHAnsi"/>
          <w:sz w:val="24"/>
          <w:szCs w:val="24"/>
        </w:rPr>
        <w:t>uruchomione umo</w:t>
      </w:r>
      <w:r w:rsidRPr="004B77D6">
        <w:rPr>
          <w:rFonts w:asciiTheme="minorHAnsi" w:eastAsia="TimesNewRoman" w:hAnsiTheme="minorHAnsi" w:cstheme="minorHAnsi"/>
          <w:sz w:val="24"/>
          <w:szCs w:val="24"/>
        </w:rPr>
        <w:t>ż</w:t>
      </w:r>
      <w:r w:rsidRPr="004B77D6">
        <w:rPr>
          <w:rFonts w:asciiTheme="minorHAnsi" w:hAnsiTheme="minorHAnsi" w:cstheme="minorHAnsi"/>
          <w:sz w:val="24"/>
          <w:szCs w:val="24"/>
        </w:rPr>
        <w:t>liwiaj</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 xml:space="preserve">cym finansowanie projektu w terminie. Informacja zawarta w promesie powinna potwierdzać, że Wnioskodawca posiada zdolność kredytową do jej uzyskania, a jedynym warunkiem jej uruchomienia będzie </w:t>
      </w:r>
      <w:r w:rsidR="00781115" w:rsidRPr="004B77D6">
        <w:rPr>
          <w:rFonts w:asciiTheme="minorHAnsi" w:hAnsiTheme="minorHAnsi" w:cstheme="minorHAnsi"/>
          <w:sz w:val="24"/>
          <w:szCs w:val="24"/>
          <w:lang w:val="pl-PL"/>
        </w:rPr>
        <w:t xml:space="preserve">decyzja </w:t>
      </w:r>
      <w:r w:rsidRPr="004B77D6">
        <w:rPr>
          <w:rFonts w:asciiTheme="minorHAnsi" w:hAnsiTheme="minorHAnsi" w:cstheme="minorHAnsi"/>
          <w:sz w:val="24"/>
          <w:szCs w:val="24"/>
        </w:rPr>
        <w:t>o dofinansowani</w:t>
      </w:r>
      <w:r w:rsidR="0071603D" w:rsidRPr="004B77D6">
        <w:rPr>
          <w:rFonts w:asciiTheme="minorHAnsi" w:hAnsiTheme="minorHAnsi" w:cstheme="minorHAnsi"/>
          <w:sz w:val="24"/>
          <w:szCs w:val="24"/>
          <w:lang w:val="pl-PL"/>
        </w:rPr>
        <w:t>u</w:t>
      </w:r>
      <w:r w:rsidRPr="004B77D6">
        <w:rPr>
          <w:rFonts w:asciiTheme="minorHAnsi" w:hAnsiTheme="minorHAnsi" w:cstheme="minorHAnsi"/>
          <w:sz w:val="24"/>
          <w:szCs w:val="24"/>
        </w:rPr>
        <w:t xml:space="preserve">. Nie będą zatem uznane za zabezpieczające środki finansowe, tzw. promesy warunkowe, gdyż w celu jej udzielenia Wnioskodawca musi spełnić szereg warunków, m.in. złożyć wniosek o </w:t>
      </w:r>
      <w:r w:rsidRPr="004B77D6">
        <w:rPr>
          <w:rFonts w:asciiTheme="minorHAnsi" w:hAnsiTheme="minorHAnsi" w:cstheme="minorHAnsi"/>
          <w:sz w:val="24"/>
          <w:szCs w:val="24"/>
        </w:rPr>
        <w:lastRenderedPageBreak/>
        <w:t>udzielenie promesy, złożyć dokumenty potwierdzające posiadanie zdolności kredytowej.</w:t>
      </w:r>
    </w:p>
    <w:p w14:paraId="1684AE90" w14:textId="77777777" w:rsidR="00F15F98" w:rsidRPr="004B77D6" w:rsidRDefault="00F15F98" w:rsidP="0071603D">
      <w:pPr>
        <w:pStyle w:val="Akapitzlist"/>
        <w:spacing w:after="120"/>
        <w:ind w:left="1428"/>
        <w:contextualSpacing/>
        <w:rPr>
          <w:rFonts w:asciiTheme="minorHAnsi" w:hAnsiTheme="minorHAnsi" w:cstheme="minorHAnsi"/>
          <w:sz w:val="24"/>
          <w:szCs w:val="24"/>
        </w:rPr>
      </w:pPr>
      <w:r w:rsidRPr="004B77D6">
        <w:rPr>
          <w:rFonts w:asciiTheme="minorHAnsi" w:hAnsiTheme="minorHAnsi" w:cstheme="minorHAnsi"/>
          <w:sz w:val="24"/>
          <w:szCs w:val="24"/>
          <w:lang w:val="pl-PL"/>
        </w:rPr>
        <w:t xml:space="preserve">- </w:t>
      </w:r>
      <w:r w:rsidRPr="004B77D6">
        <w:rPr>
          <w:rFonts w:asciiTheme="minorHAnsi" w:hAnsiTheme="minorHAnsi" w:cstheme="minorHAnsi"/>
          <w:sz w:val="24"/>
          <w:szCs w:val="24"/>
        </w:rPr>
        <w:t xml:space="preserve">W celu udokumentowania finansowania projektu ze </w:t>
      </w:r>
      <w:r w:rsidRPr="004B77D6">
        <w:rPr>
          <w:rFonts w:asciiTheme="minorHAnsi" w:hAnsiTheme="minorHAnsi" w:cstheme="minorHAnsi"/>
          <w:b/>
          <w:sz w:val="24"/>
          <w:szCs w:val="24"/>
        </w:rPr>
        <w:t>środków zewnętrznych</w:t>
      </w:r>
      <w:r w:rsidRPr="004B77D6">
        <w:rPr>
          <w:rFonts w:asciiTheme="minorHAnsi" w:hAnsiTheme="minorHAnsi" w:cstheme="minorHAnsi"/>
          <w:sz w:val="24"/>
          <w:szCs w:val="24"/>
        </w:rPr>
        <w:t xml:space="preserve"> (np. środków instytucji finansowych)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7B2998FC" w14:textId="1DF68A85" w:rsidR="00F15F98" w:rsidRPr="004B77D6" w:rsidRDefault="00F15F98" w:rsidP="0071603D">
      <w:pPr>
        <w:pStyle w:val="Akapitzlist"/>
        <w:spacing w:after="120"/>
        <w:ind w:left="1428"/>
        <w:contextualSpacing/>
        <w:rPr>
          <w:rFonts w:asciiTheme="minorHAnsi" w:hAnsiTheme="minorHAnsi" w:cstheme="minorHAnsi"/>
          <w:sz w:val="24"/>
          <w:szCs w:val="24"/>
        </w:rPr>
      </w:pPr>
      <w:r w:rsidRPr="004B77D6">
        <w:rPr>
          <w:rFonts w:asciiTheme="minorHAnsi" w:hAnsiTheme="minorHAnsi" w:cstheme="minorHAnsi"/>
          <w:sz w:val="24"/>
          <w:szCs w:val="24"/>
          <w:lang w:val="pl-PL"/>
        </w:rPr>
        <w:t xml:space="preserve">- </w:t>
      </w:r>
      <w:r w:rsidRPr="004B77D6">
        <w:rPr>
          <w:rFonts w:asciiTheme="minorHAnsi" w:hAnsiTheme="minorHAnsi" w:cstheme="minorHAnsi"/>
          <w:sz w:val="24"/>
          <w:szCs w:val="24"/>
        </w:rPr>
        <w:t xml:space="preserve">W przypadku </w:t>
      </w:r>
      <w:r w:rsidR="00B14FBF">
        <w:rPr>
          <w:rFonts w:asciiTheme="minorHAnsi" w:hAnsiTheme="minorHAnsi" w:cstheme="minorHAnsi"/>
          <w:sz w:val="24"/>
          <w:szCs w:val="24"/>
        </w:rPr>
        <w:t xml:space="preserve">podmiotów np. </w:t>
      </w:r>
      <w:r w:rsidRPr="004B77D6">
        <w:rPr>
          <w:rFonts w:asciiTheme="minorHAnsi" w:hAnsiTheme="minorHAnsi" w:cstheme="minorHAnsi"/>
          <w:sz w:val="24"/>
          <w:szCs w:val="24"/>
        </w:rPr>
        <w:t>przedsiębiorstw, które zamierzaj</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 xml:space="preserve"> finansowa</w:t>
      </w:r>
      <w:r w:rsidRPr="004B77D6">
        <w:rPr>
          <w:rFonts w:asciiTheme="minorHAnsi" w:eastAsia="TimesNewRoman" w:hAnsiTheme="minorHAnsi" w:cstheme="minorHAnsi"/>
          <w:sz w:val="24"/>
          <w:szCs w:val="24"/>
        </w:rPr>
        <w:t xml:space="preserve">ć </w:t>
      </w:r>
      <w:r w:rsidRPr="004B77D6">
        <w:rPr>
          <w:rFonts w:asciiTheme="minorHAnsi" w:hAnsiTheme="minorHAnsi" w:cstheme="minorHAnsi"/>
          <w:sz w:val="24"/>
          <w:szCs w:val="24"/>
        </w:rPr>
        <w:t xml:space="preserve">projekt ze </w:t>
      </w:r>
      <w:r w:rsidRPr="004B77D6">
        <w:rPr>
          <w:rFonts w:asciiTheme="minorHAnsi" w:eastAsia="TimesNewRoman" w:hAnsiTheme="minorHAnsi" w:cstheme="minorHAnsi"/>
          <w:b/>
          <w:sz w:val="24"/>
          <w:szCs w:val="24"/>
        </w:rPr>
        <w:t>ś</w:t>
      </w:r>
      <w:r w:rsidRPr="004B77D6">
        <w:rPr>
          <w:rFonts w:asciiTheme="minorHAnsi" w:hAnsiTheme="minorHAnsi" w:cstheme="minorHAnsi"/>
          <w:b/>
          <w:sz w:val="24"/>
          <w:szCs w:val="24"/>
        </w:rPr>
        <w:t>rodków własnych</w:t>
      </w:r>
      <w:r w:rsidRPr="004B77D6">
        <w:rPr>
          <w:rFonts w:asciiTheme="minorHAnsi" w:hAnsiTheme="minorHAnsi" w:cstheme="minorHAnsi"/>
          <w:sz w:val="24"/>
          <w:szCs w:val="24"/>
        </w:rPr>
        <w:t xml:space="preserve"> (np. środkami zgromadzonymi na rachunku bankowym beneficjenta) do wniosku o dofinansowanie  należy doł</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czy</w:t>
      </w:r>
      <w:r w:rsidRPr="004B77D6">
        <w:rPr>
          <w:rFonts w:asciiTheme="minorHAnsi" w:eastAsia="TimesNewRoman" w:hAnsiTheme="minorHAnsi" w:cstheme="minorHAnsi"/>
          <w:sz w:val="24"/>
          <w:szCs w:val="24"/>
        </w:rPr>
        <w:t xml:space="preserve">ć aktualny </w:t>
      </w:r>
      <w:r w:rsidRPr="004B77D6">
        <w:rPr>
          <w:rFonts w:asciiTheme="minorHAnsi" w:hAnsiTheme="minorHAnsi" w:cstheme="minorHAnsi"/>
          <w:sz w:val="24"/>
          <w:szCs w:val="24"/>
        </w:rPr>
        <w:t>wyci</w:t>
      </w:r>
      <w:r w:rsidRPr="004B77D6">
        <w:rPr>
          <w:rFonts w:asciiTheme="minorHAnsi" w:eastAsia="TimesNewRoman" w:hAnsiTheme="minorHAnsi" w:cstheme="minorHAnsi"/>
          <w:sz w:val="24"/>
          <w:szCs w:val="24"/>
        </w:rPr>
        <w:t>ą</w:t>
      </w:r>
      <w:r w:rsidRPr="004B77D6">
        <w:rPr>
          <w:rFonts w:asciiTheme="minorHAnsi" w:hAnsiTheme="minorHAnsi" w:cstheme="minorHAnsi"/>
          <w:sz w:val="24"/>
          <w:szCs w:val="24"/>
        </w:rPr>
        <w:t>g z konta bankowego lub lokat</w:t>
      </w:r>
      <w:r w:rsidRPr="004B77D6">
        <w:rPr>
          <w:rFonts w:asciiTheme="minorHAnsi" w:eastAsia="TimesNewRoman" w:hAnsiTheme="minorHAnsi" w:cstheme="minorHAnsi"/>
          <w:sz w:val="24"/>
          <w:szCs w:val="24"/>
        </w:rPr>
        <w:t>ę (nie starszy niż 3 miesiące)</w:t>
      </w:r>
      <w:r w:rsidRPr="004B77D6">
        <w:rPr>
          <w:rFonts w:asciiTheme="minorHAnsi" w:hAnsiTheme="minorHAnsi" w:cstheme="minorHAnsi"/>
          <w:sz w:val="24"/>
          <w:szCs w:val="24"/>
        </w:rPr>
        <w:t>.</w:t>
      </w:r>
    </w:p>
    <w:p w14:paraId="05DEF11D" w14:textId="2A7BA27D" w:rsidR="00F15F98" w:rsidRPr="004B77D6" w:rsidRDefault="00F15F98" w:rsidP="0071603D">
      <w:pPr>
        <w:pStyle w:val="Akapitzlist"/>
        <w:spacing w:after="120"/>
        <w:ind w:left="1428"/>
        <w:contextualSpacing/>
        <w:rPr>
          <w:rFonts w:asciiTheme="minorHAnsi" w:hAnsiTheme="minorHAnsi" w:cstheme="minorHAnsi"/>
          <w:sz w:val="24"/>
          <w:szCs w:val="24"/>
        </w:rPr>
      </w:pPr>
      <w:r w:rsidRPr="004B77D6">
        <w:rPr>
          <w:rFonts w:asciiTheme="minorHAnsi" w:hAnsiTheme="minorHAnsi" w:cstheme="minorHAnsi"/>
          <w:b/>
          <w:sz w:val="24"/>
          <w:szCs w:val="24"/>
          <w:lang w:val="pl-PL"/>
        </w:rPr>
        <w:t xml:space="preserve">- </w:t>
      </w:r>
      <w:r w:rsidRPr="004B77D6">
        <w:rPr>
          <w:rFonts w:asciiTheme="minorHAnsi" w:hAnsiTheme="minorHAnsi" w:cstheme="minorHAnsi"/>
          <w:b/>
          <w:sz w:val="24"/>
          <w:szCs w:val="24"/>
        </w:rPr>
        <w:t>W przypadku finansowania projektu z innych źródeł niż EFRR i środki własne</w:t>
      </w:r>
      <w:r w:rsidRPr="004B77D6">
        <w:rPr>
          <w:rFonts w:asciiTheme="minorHAnsi" w:hAnsiTheme="minorHAnsi"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4B77D6">
        <w:rPr>
          <w:rFonts w:asciiTheme="minorHAnsi" w:hAnsiTheme="minorHAnsi" w:cstheme="minorHAnsi"/>
          <w:b/>
          <w:sz w:val="24"/>
          <w:szCs w:val="24"/>
        </w:rPr>
        <w:t xml:space="preserve"> </w:t>
      </w:r>
      <w:r w:rsidRPr="004B77D6">
        <w:rPr>
          <w:rFonts w:asciiTheme="minorHAnsi" w:hAnsiTheme="minorHAnsi" w:cstheme="minorHAnsi"/>
          <w:b/>
          <w:sz w:val="24"/>
          <w:szCs w:val="24"/>
        </w:rPr>
        <w:br/>
      </w:r>
      <w:r w:rsidRPr="004B77D6">
        <w:rPr>
          <w:rFonts w:asciiTheme="minorHAnsi" w:hAnsiTheme="minorHAnsi" w:cstheme="minorHAnsi"/>
          <w:sz w:val="24"/>
          <w:szCs w:val="24"/>
        </w:rPr>
        <w:t xml:space="preserve">W przypadku warunkowego przyznania środków na realizacje inwestycji informacja o tym musi znaleźć się w oświadczeniu. Instytucja </w:t>
      </w:r>
      <w:r w:rsidR="00B14FBF">
        <w:rPr>
          <w:rFonts w:asciiTheme="minorHAnsi" w:hAnsiTheme="minorHAnsi" w:cstheme="minorHAnsi"/>
          <w:sz w:val="24"/>
          <w:szCs w:val="24"/>
        </w:rPr>
        <w:t>Zarządzająca</w:t>
      </w:r>
      <w:r w:rsidRPr="004B77D6">
        <w:rPr>
          <w:rFonts w:asciiTheme="minorHAnsi" w:hAnsiTheme="minorHAnsi" w:cstheme="minorHAnsi"/>
          <w:sz w:val="24"/>
          <w:szCs w:val="24"/>
        </w:rPr>
        <w:t xml:space="preserve"> może zażądać przedstawienia dokumentu potwierdzającego posiadanie środków na realizację zadania przez instytucję partycypującą finansowo </w:t>
      </w:r>
      <w:r w:rsidR="0064104A">
        <w:rPr>
          <w:rFonts w:asciiTheme="minorHAnsi" w:hAnsiTheme="minorHAnsi" w:cstheme="minorHAnsi"/>
          <w:sz w:val="24"/>
          <w:szCs w:val="24"/>
        </w:rPr>
        <w:br/>
      </w:r>
      <w:r w:rsidRPr="004B77D6">
        <w:rPr>
          <w:rFonts w:asciiTheme="minorHAnsi" w:hAnsiTheme="minorHAnsi" w:cstheme="minorHAnsi"/>
          <w:sz w:val="24"/>
          <w:szCs w:val="24"/>
        </w:rPr>
        <w:t xml:space="preserve">w kosztach projektu. </w:t>
      </w:r>
    </w:p>
    <w:p w14:paraId="54D498DC" w14:textId="2FD257B0" w:rsidR="00F15F98" w:rsidRPr="004B77D6" w:rsidRDefault="00F15F98" w:rsidP="0071603D">
      <w:pPr>
        <w:spacing w:after="120" w:line="276" w:lineRule="auto"/>
        <w:contextualSpacing/>
        <w:rPr>
          <w:rFonts w:asciiTheme="minorHAnsi" w:hAnsiTheme="minorHAnsi" w:cstheme="minorHAnsi"/>
          <w:szCs w:val="24"/>
        </w:rPr>
      </w:pPr>
      <w:r w:rsidRPr="004B77D6">
        <w:rPr>
          <w:rFonts w:asciiTheme="minorHAnsi" w:hAnsiTheme="minorHAnsi" w:cstheme="minorHAnsi"/>
          <w:szCs w:val="24"/>
        </w:rPr>
        <w:t xml:space="preserve">W przypadku kiedy do dofinansowania składany jest projekt, którego realizacja już się rozpoczęła bądź projekt został już częściowo zrealizowany należy dołączyć do wniosku </w:t>
      </w:r>
      <w:r w:rsidR="0064104A">
        <w:rPr>
          <w:rFonts w:asciiTheme="minorHAnsi" w:hAnsiTheme="minorHAnsi" w:cstheme="minorHAnsi"/>
          <w:szCs w:val="24"/>
        </w:rPr>
        <w:br/>
      </w:r>
      <w:r w:rsidRPr="004B77D6">
        <w:rPr>
          <w:rFonts w:asciiTheme="minorHAnsi" w:hAnsiTheme="minorHAnsi" w:cstheme="minorHAnsi"/>
          <w:szCs w:val="24"/>
        </w:rPr>
        <w:t>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7AF91A04" w14:textId="38380A15" w:rsidR="00F15F98" w:rsidRPr="004B77D6" w:rsidRDefault="00F15F98" w:rsidP="0071603D">
      <w:pPr>
        <w:spacing w:after="120" w:line="276" w:lineRule="auto"/>
        <w:contextualSpacing/>
        <w:rPr>
          <w:rFonts w:asciiTheme="minorHAnsi" w:hAnsiTheme="minorHAnsi" w:cstheme="minorHAnsi"/>
          <w:szCs w:val="24"/>
        </w:rPr>
      </w:pPr>
      <w:r w:rsidRPr="004B77D6">
        <w:rPr>
          <w:rFonts w:asciiTheme="minorHAnsi" w:hAnsiTheme="minorHAnsi" w:cstheme="minorHAnsi"/>
          <w:b/>
          <w:szCs w:val="24"/>
        </w:rPr>
        <w:t xml:space="preserve">Dokument potwierdzający zabezpieczenie wkładu własnego oraz wydatków niekwalifikowalnych  należy dostarczyć w terminie określonym każdorazowo w terminie określonym w Regulaminie wyboru projektów - co do zasady nie dłuższym niż </w:t>
      </w:r>
      <w:r w:rsidR="00312A44">
        <w:rPr>
          <w:rFonts w:asciiTheme="minorHAnsi" w:hAnsiTheme="minorHAnsi" w:cstheme="minorHAnsi"/>
          <w:b/>
          <w:szCs w:val="24"/>
        </w:rPr>
        <w:t>6</w:t>
      </w:r>
      <w:r w:rsidRPr="004B77D6">
        <w:rPr>
          <w:rFonts w:asciiTheme="minorHAnsi" w:hAnsiTheme="minorHAnsi" w:cstheme="minorHAnsi"/>
          <w:b/>
          <w:szCs w:val="24"/>
        </w:rPr>
        <w:t>0 dni kalendarzowych od dnia podjęcia przez Zarząd Województwa Opolskiego – IZ FEO 20</w:t>
      </w:r>
      <w:r w:rsidR="00C67FC9">
        <w:rPr>
          <w:rFonts w:asciiTheme="minorHAnsi" w:hAnsiTheme="minorHAnsi" w:cstheme="minorHAnsi"/>
          <w:b/>
          <w:szCs w:val="24"/>
        </w:rPr>
        <w:t>2</w:t>
      </w:r>
      <w:r w:rsidRPr="004B77D6">
        <w:rPr>
          <w:rFonts w:asciiTheme="minorHAnsi" w:hAnsiTheme="minorHAnsi" w:cstheme="minorHAnsi"/>
          <w:b/>
          <w:szCs w:val="24"/>
        </w:rPr>
        <w:t xml:space="preserve">1-2027 uchwały o wyborze  projektów  do dofinansowania. </w:t>
      </w:r>
      <w:r w:rsidRPr="004B77D6">
        <w:rPr>
          <w:rFonts w:asciiTheme="minorHAnsi" w:hAnsiTheme="minorHAnsi" w:cstheme="minorHAnsi"/>
          <w:iCs/>
          <w:szCs w:val="24"/>
        </w:rPr>
        <w:t xml:space="preserve">W uzasadnionych przypadkach, na prośbę </w:t>
      </w:r>
      <w:r w:rsidR="00A721F7" w:rsidRPr="004B77D6">
        <w:rPr>
          <w:rFonts w:asciiTheme="minorHAnsi" w:hAnsiTheme="minorHAnsi" w:cstheme="minorHAnsi"/>
          <w:iCs/>
          <w:szCs w:val="24"/>
        </w:rPr>
        <w:t>W</w:t>
      </w:r>
      <w:r w:rsidRPr="004B77D6">
        <w:rPr>
          <w:rFonts w:asciiTheme="minorHAnsi" w:hAnsiTheme="minorHAnsi" w:cstheme="minorHAnsi"/>
          <w:iCs/>
          <w:szCs w:val="24"/>
        </w:rPr>
        <w:t xml:space="preserve">nioskodawcy, ZWO może wyrazić zgodę na wydłużenie ww. terminu. </w:t>
      </w:r>
    </w:p>
    <w:p w14:paraId="41681373" w14:textId="337ACBF0" w:rsidR="00257AF6" w:rsidRDefault="00F15F98" w:rsidP="0071603D">
      <w:pPr>
        <w:spacing w:after="120" w:line="276" w:lineRule="auto"/>
        <w:contextualSpacing/>
        <w:rPr>
          <w:rFonts w:asciiTheme="minorHAnsi" w:hAnsiTheme="minorHAnsi" w:cstheme="minorHAnsi"/>
          <w:b/>
          <w:szCs w:val="24"/>
          <w:u w:val="single"/>
        </w:rPr>
      </w:pPr>
      <w:r w:rsidRPr="004B77D6">
        <w:rPr>
          <w:rFonts w:asciiTheme="minorHAnsi" w:hAnsiTheme="minorHAnsi" w:cstheme="minorHAnsi"/>
          <w:b/>
          <w:szCs w:val="24"/>
          <w:u w:val="single"/>
        </w:rPr>
        <w:lastRenderedPageBreak/>
        <w:t xml:space="preserve">W przypadku nieudokumentowania przez Wnioskodawcę posiadania ww. środków </w:t>
      </w:r>
      <w:r w:rsidR="0064104A">
        <w:rPr>
          <w:rFonts w:asciiTheme="minorHAnsi" w:hAnsiTheme="minorHAnsi" w:cstheme="minorHAnsi"/>
          <w:b/>
          <w:szCs w:val="24"/>
          <w:u w:val="single"/>
        </w:rPr>
        <w:br/>
      </w:r>
      <w:r w:rsidRPr="004B77D6">
        <w:rPr>
          <w:rFonts w:asciiTheme="minorHAnsi" w:hAnsiTheme="minorHAnsi" w:cstheme="minorHAnsi"/>
          <w:b/>
          <w:szCs w:val="24"/>
          <w:u w:val="single"/>
        </w:rPr>
        <w:t>w terminie określonym powyżej, projekt utraci możliwość dofinansowania na jego realizację.</w:t>
      </w:r>
      <w:bookmarkStart w:id="125" w:name="_Toc477857447"/>
    </w:p>
    <w:p w14:paraId="1CA265D8" w14:textId="77777777" w:rsidR="004B77D6" w:rsidRPr="004B77D6" w:rsidRDefault="004B77D6" w:rsidP="0071603D">
      <w:pPr>
        <w:spacing w:after="120" w:line="276" w:lineRule="auto"/>
        <w:contextualSpacing/>
        <w:rPr>
          <w:rFonts w:asciiTheme="minorHAnsi" w:hAnsiTheme="minorHAnsi" w:cstheme="minorHAnsi"/>
          <w:b/>
          <w:szCs w:val="24"/>
          <w:u w:val="single"/>
        </w:rPr>
      </w:pPr>
    </w:p>
    <w:p w14:paraId="50BEF054" w14:textId="6948EEDD" w:rsidR="00A06439" w:rsidRPr="004B77D6" w:rsidRDefault="00987340" w:rsidP="0071603D">
      <w:pPr>
        <w:pStyle w:val="Nagwek3"/>
        <w:numPr>
          <w:ilvl w:val="0"/>
          <w:numId w:val="0"/>
        </w:numPr>
        <w:suppressAutoHyphens w:val="0"/>
        <w:spacing w:before="0" w:after="120" w:line="276" w:lineRule="auto"/>
        <w:rPr>
          <w:rFonts w:ascii="Calibri" w:hAnsi="Calibri"/>
          <w:sz w:val="28"/>
          <w:szCs w:val="28"/>
        </w:rPr>
      </w:pPr>
      <w:bookmarkStart w:id="126" w:name="_Toc184900805"/>
      <w:r>
        <w:rPr>
          <w:rFonts w:ascii="Calibri" w:hAnsi="Calibri"/>
          <w:sz w:val="28"/>
          <w:szCs w:val="28"/>
          <w:lang w:val="pl-PL"/>
        </w:rPr>
        <w:t>6</w:t>
      </w:r>
      <w:r w:rsidR="00506C52" w:rsidRPr="004B77D6">
        <w:rPr>
          <w:rFonts w:ascii="Calibri" w:hAnsi="Calibri"/>
          <w:sz w:val="28"/>
          <w:szCs w:val="28"/>
          <w:lang w:val="pl-PL"/>
        </w:rPr>
        <w:t xml:space="preserve">. </w:t>
      </w:r>
      <w:r w:rsidR="00A06439" w:rsidRPr="004B77D6">
        <w:rPr>
          <w:rFonts w:ascii="Calibri" w:hAnsi="Calibri"/>
          <w:sz w:val="28"/>
          <w:szCs w:val="28"/>
        </w:rPr>
        <w:t>KOPIA ZAWARTEJ UMOWY/POROZUMIENIA NA REALIZACJĘ WSPÓLNEGO PRZEDSIĘWZIĘCIA</w:t>
      </w:r>
      <w:bookmarkEnd w:id="125"/>
      <w:bookmarkEnd w:id="126"/>
    </w:p>
    <w:p w14:paraId="4816A048" w14:textId="0041C3E8" w:rsidR="00FA50FE" w:rsidRPr="004B77D6" w:rsidRDefault="00FA50FE" w:rsidP="0071603D">
      <w:pPr>
        <w:spacing w:after="120" w:line="276" w:lineRule="auto"/>
        <w:rPr>
          <w:rFonts w:ascii="Calibri" w:hAnsi="Calibri"/>
          <w:szCs w:val="24"/>
        </w:rPr>
      </w:pPr>
      <w:r w:rsidRPr="004B77D6">
        <w:rPr>
          <w:rFonts w:ascii="Calibri" w:hAnsi="Calibri"/>
          <w:szCs w:val="24"/>
        </w:rPr>
        <w:t>Umowa/porozumienie na realizację wspólnego przedsięwzięcia musi zostać zawarta przed złożeniem wniosku o dofinansowanie proje</w:t>
      </w:r>
      <w:r w:rsidR="00257AF6" w:rsidRPr="004B77D6">
        <w:rPr>
          <w:rFonts w:ascii="Calibri" w:hAnsi="Calibri"/>
          <w:szCs w:val="24"/>
        </w:rPr>
        <w:t xml:space="preserve">ktu, tylko i wyłącznie pomiędzy </w:t>
      </w:r>
      <w:r w:rsidRPr="004B77D6">
        <w:rPr>
          <w:rFonts w:ascii="Calibri" w:hAnsi="Calibri"/>
          <w:szCs w:val="24"/>
        </w:rPr>
        <w:t xml:space="preserve">Wnioskodawcami, </w:t>
      </w:r>
      <w:r w:rsidR="005D5238" w:rsidRPr="00060169">
        <w:rPr>
          <w:rFonts w:ascii="Calibri" w:hAnsi="Calibri"/>
          <w:szCs w:val="24"/>
        </w:rPr>
        <w:t xml:space="preserve">którzy wpisują się w typy beneficjentów określonych </w:t>
      </w:r>
      <w:r w:rsidR="005D5238">
        <w:rPr>
          <w:rFonts w:ascii="Calibri" w:hAnsi="Calibri"/>
          <w:szCs w:val="24"/>
        </w:rPr>
        <w:t xml:space="preserve"> </w:t>
      </w:r>
      <w:r w:rsidR="005D5238" w:rsidRPr="004B77D6">
        <w:rPr>
          <w:rFonts w:ascii="Calibri" w:hAnsi="Calibri"/>
          <w:szCs w:val="24"/>
        </w:rPr>
        <w:t xml:space="preserve"> </w:t>
      </w:r>
      <w:r w:rsidRPr="004B77D6">
        <w:rPr>
          <w:rFonts w:ascii="Calibri" w:hAnsi="Calibri"/>
          <w:szCs w:val="24"/>
        </w:rPr>
        <w:t>w Regulaminie wyboru projektów.</w:t>
      </w:r>
    </w:p>
    <w:p w14:paraId="270FB4DD" w14:textId="611DBF03" w:rsidR="00464F2D" w:rsidRPr="004B77D6" w:rsidRDefault="00FA50FE" w:rsidP="0071603D">
      <w:pPr>
        <w:spacing w:after="120" w:line="276" w:lineRule="auto"/>
        <w:rPr>
          <w:rFonts w:ascii="Calibri" w:hAnsi="Calibri"/>
          <w:b/>
          <w:szCs w:val="24"/>
        </w:rPr>
      </w:pPr>
      <w:r w:rsidRPr="004B77D6">
        <w:rPr>
          <w:rFonts w:ascii="Calibri" w:hAnsi="Calibri"/>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sidR="005D5238" w:rsidRPr="00B14FBF">
        <w:rPr>
          <w:rFonts w:ascii="Calibri" w:hAnsi="Calibri"/>
          <w:szCs w:val="24"/>
        </w:rPr>
        <w:t>Jednak udział partnerów w projekcie partnerskim nie może polegać wyłącznie na wniesieniu do jego realizacji tych zasobów</w:t>
      </w:r>
      <w:r w:rsidR="005D5238">
        <w:rPr>
          <w:rFonts w:ascii="Calibri" w:hAnsi="Calibri"/>
          <w:b/>
          <w:szCs w:val="24"/>
        </w:rPr>
        <w:t xml:space="preserve">. </w:t>
      </w:r>
      <w:r w:rsidRPr="004B77D6">
        <w:rPr>
          <w:rFonts w:ascii="Calibri" w:hAnsi="Calibri"/>
          <w:b/>
          <w:szCs w:val="24"/>
        </w:rPr>
        <w:t>Należy mieć na uwadze, że aby uznać związane partnerstwo za zasadne i racjonalne niezbędne jest korzystanie przez partnerów projektu z dofinansowania UE, które musi być przewidziane dla partnerów w budżecie projektu, w powiązaniu z zadaniami, które mają do wykonania.</w:t>
      </w:r>
      <w:r w:rsidRPr="004B77D6">
        <w:rPr>
          <w:rFonts w:ascii="Calibri" w:hAnsi="Calibri"/>
          <w:b/>
          <w:szCs w:val="24"/>
        </w:rPr>
        <w:tab/>
      </w:r>
      <w:r w:rsidRPr="004B77D6">
        <w:rPr>
          <w:rFonts w:ascii="Calibri" w:hAnsi="Calibri"/>
          <w:b/>
          <w:szCs w:val="24"/>
        </w:rPr>
        <w:tab/>
      </w:r>
      <w:r w:rsidRPr="004B77D6">
        <w:rPr>
          <w:rFonts w:ascii="Calibri" w:hAnsi="Calibri"/>
          <w:b/>
          <w:szCs w:val="24"/>
        </w:rPr>
        <w:tab/>
      </w:r>
      <w:r w:rsidRPr="004B77D6">
        <w:rPr>
          <w:rFonts w:ascii="Calibri" w:hAnsi="Calibri"/>
          <w:b/>
          <w:szCs w:val="24"/>
        </w:rPr>
        <w:tab/>
      </w:r>
      <w:r w:rsidRPr="004B77D6">
        <w:rPr>
          <w:rFonts w:ascii="Calibri" w:hAnsi="Calibri"/>
          <w:b/>
          <w:szCs w:val="24"/>
        </w:rPr>
        <w:tab/>
      </w:r>
      <w:r w:rsidRPr="004B77D6">
        <w:rPr>
          <w:rFonts w:ascii="Calibri" w:hAnsi="Calibri"/>
          <w:b/>
          <w:szCs w:val="24"/>
        </w:rPr>
        <w:tab/>
      </w:r>
    </w:p>
    <w:p w14:paraId="209A396F" w14:textId="0F403CDD" w:rsidR="00FA50FE" w:rsidRPr="004B77D6" w:rsidRDefault="00FA50FE" w:rsidP="0071603D">
      <w:pPr>
        <w:spacing w:after="120" w:line="276" w:lineRule="auto"/>
        <w:rPr>
          <w:rFonts w:ascii="Calibri" w:hAnsi="Calibri"/>
          <w:szCs w:val="24"/>
        </w:rPr>
      </w:pPr>
      <w:r w:rsidRPr="004B77D6">
        <w:rPr>
          <w:rFonts w:ascii="Calibri" w:hAnsi="Calibri"/>
          <w:szCs w:val="24"/>
        </w:rPr>
        <w:t>Podmioty realizują wspólnie projekt partnerski, na warunkach określonych w porozumieniu lub umowie partnerskiej lub na podstawie odrębnych przepisów. W przypadku projektów partnerskich realizowanych na podstawie umowy partnerskiej, podmiot, o którym mowa w art. 4, art. 5 ust. 1 i art. 6 ustawy z dnia 11 września 2019 r. – Prawo zamówień publicznych (</w:t>
      </w:r>
      <w:proofErr w:type="spellStart"/>
      <w:r w:rsidR="00A025D6">
        <w:rPr>
          <w:rFonts w:ascii="Calibri" w:hAnsi="Calibri"/>
          <w:szCs w:val="24"/>
        </w:rPr>
        <w:t>t.j</w:t>
      </w:r>
      <w:proofErr w:type="spellEnd"/>
      <w:r w:rsidR="00A025D6">
        <w:rPr>
          <w:rFonts w:ascii="Calibri" w:hAnsi="Calibri"/>
          <w:szCs w:val="24"/>
        </w:rPr>
        <w:t xml:space="preserve">. </w:t>
      </w:r>
      <w:r w:rsidRPr="004B77D6">
        <w:rPr>
          <w:rFonts w:ascii="Calibri" w:hAnsi="Calibri"/>
          <w:szCs w:val="24"/>
        </w:rPr>
        <w:t>Dz. U. z 202</w:t>
      </w:r>
      <w:r w:rsidR="00845022">
        <w:rPr>
          <w:rFonts w:ascii="Calibri" w:hAnsi="Calibri"/>
          <w:szCs w:val="24"/>
        </w:rPr>
        <w:t>3</w:t>
      </w:r>
      <w:r w:rsidRPr="004B77D6">
        <w:rPr>
          <w:rFonts w:ascii="Calibri" w:hAnsi="Calibri"/>
          <w:szCs w:val="24"/>
        </w:rPr>
        <w:t xml:space="preserve"> r.</w:t>
      </w:r>
      <w:r w:rsidR="00A025D6">
        <w:rPr>
          <w:rFonts w:ascii="Calibri" w:hAnsi="Calibri"/>
          <w:szCs w:val="24"/>
        </w:rPr>
        <w:t>,</w:t>
      </w:r>
      <w:r w:rsidRPr="004B77D6">
        <w:rPr>
          <w:rFonts w:ascii="Calibri" w:hAnsi="Calibri"/>
          <w:szCs w:val="24"/>
        </w:rPr>
        <w:t xml:space="preserve"> poz. 1</w:t>
      </w:r>
      <w:r w:rsidR="00845022">
        <w:rPr>
          <w:rFonts w:ascii="Calibri" w:hAnsi="Calibri"/>
          <w:szCs w:val="24"/>
        </w:rPr>
        <w:t>605</w:t>
      </w:r>
      <w:r w:rsidRPr="004B77D6">
        <w:rPr>
          <w:rFonts w:ascii="Calibri" w:hAnsi="Calibri"/>
          <w:szCs w:val="24"/>
        </w:rPr>
        <w:t xml:space="preserve"> z </w:t>
      </w:r>
      <w:proofErr w:type="spellStart"/>
      <w:r w:rsidRPr="004B77D6">
        <w:rPr>
          <w:rFonts w:ascii="Calibri" w:hAnsi="Calibri"/>
          <w:szCs w:val="24"/>
        </w:rPr>
        <w:t>późn</w:t>
      </w:r>
      <w:proofErr w:type="spellEnd"/>
      <w:r w:rsidRPr="004B77D6">
        <w:rPr>
          <w:rFonts w:ascii="Calibri" w:hAnsi="Calibri"/>
          <w:szCs w:val="24"/>
        </w:rPr>
        <w:t>. zm.), inicjujący projekt partnerski, dokonuje wyboru partnerów spośród podmiotów innych niż wymienione w art. 4 tej ustawy, z zachowaniem zasady przejrzystości i równego traktowania. Podmiot ten, dokonując wyboru, jest obowiązany w szczególności do:</w:t>
      </w:r>
    </w:p>
    <w:p w14:paraId="579A252C" w14:textId="77777777"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t>ogłoszenia otwartego naboru partnerów na swojej stronie internetowej wraz ze wskazaniem co najmniej 21-dniowego terminu na zgłaszanie się partnerów;</w:t>
      </w:r>
    </w:p>
    <w:p w14:paraId="4F90FE9F" w14:textId="77777777"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t xml:space="preserve">uwzględnienia przy wyborze partnerów: zgodności działania potencjalnego partnera z celami partnerstwa, deklarowanego wkładu potencjalnego partnera </w:t>
      </w:r>
      <w:r w:rsidRPr="004B77D6">
        <w:rPr>
          <w:rFonts w:ascii="Calibri" w:hAnsi="Calibri"/>
          <w:szCs w:val="24"/>
        </w:rPr>
        <w:br/>
        <w:t>w realizację celu partnerstwa, doświadczenia w realizacji projektów o podobnym charakterze;</w:t>
      </w:r>
    </w:p>
    <w:p w14:paraId="0884FA59" w14:textId="77777777"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lastRenderedPageBreak/>
        <w:t xml:space="preserve">podania do publicznej wiadomości na swojej stronie internetowej informacji </w:t>
      </w:r>
      <w:r w:rsidRPr="004B77D6">
        <w:rPr>
          <w:rFonts w:ascii="Calibri" w:hAnsi="Calibri"/>
          <w:szCs w:val="24"/>
        </w:rPr>
        <w:br/>
        <w:t>o podmiotach wybranych do pełnienia funkcji partnera.</w:t>
      </w:r>
    </w:p>
    <w:p w14:paraId="7084E0FA"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 xml:space="preserve">W przypadku realizacji projektu przez więcej niż jeden podmiot, do wniosku </w:t>
      </w:r>
      <w:r w:rsidRPr="004B77D6">
        <w:rPr>
          <w:rFonts w:ascii="Calibri" w:hAnsi="Calibri"/>
          <w:szCs w:val="24"/>
        </w:rPr>
        <w:br/>
        <w:t xml:space="preserve">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 </w:t>
      </w:r>
    </w:p>
    <w:p w14:paraId="34B7BCF3"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 xml:space="preserve">Zasady tworzenia związków, porozumień i stowarzyszeń jednostek samorządu terytorialnego zostały określone w ustawie o samorządzie terytorialnym oraz w ustawie </w:t>
      </w:r>
      <w:r w:rsidRPr="004B77D6">
        <w:rPr>
          <w:rFonts w:ascii="Calibri" w:hAnsi="Calibri"/>
          <w:szCs w:val="24"/>
        </w:rPr>
        <w:br/>
        <w:t xml:space="preserve">o samorządzie powiatowym. </w:t>
      </w:r>
    </w:p>
    <w:p w14:paraId="07D87FF0" w14:textId="291BF095" w:rsidR="00FA50FE" w:rsidRPr="004B77D6" w:rsidRDefault="00FA50FE" w:rsidP="00187F1C">
      <w:pPr>
        <w:spacing w:after="120" w:line="276" w:lineRule="auto"/>
        <w:rPr>
          <w:rFonts w:ascii="Calibri" w:hAnsi="Calibri"/>
          <w:b/>
          <w:szCs w:val="24"/>
        </w:rPr>
      </w:pPr>
      <w:r w:rsidRPr="004B77D6">
        <w:rPr>
          <w:rFonts w:ascii="Calibri" w:hAnsi="Calibri"/>
          <w:b/>
          <w:szCs w:val="24"/>
        </w:rPr>
        <w:t xml:space="preserve">Każdy partner powinien być podmiotem uprawnionym do otrzymania </w:t>
      </w:r>
      <w:r w:rsidR="00620DD0" w:rsidRPr="004B77D6">
        <w:rPr>
          <w:rFonts w:ascii="Calibri" w:hAnsi="Calibri"/>
          <w:b/>
          <w:szCs w:val="24"/>
        </w:rPr>
        <w:t xml:space="preserve">wsparcia </w:t>
      </w:r>
      <w:r w:rsidR="00620DD0" w:rsidRPr="004B77D6">
        <w:rPr>
          <w:rFonts w:ascii="Calibri" w:hAnsi="Calibri"/>
          <w:b/>
          <w:szCs w:val="24"/>
        </w:rPr>
        <w:br/>
        <w:t xml:space="preserve">w ramach działania </w:t>
      </w:r>
      <w:r w:rsidR="00187F1C" w:rsidRPr="00187F1C">
        <w:rPr>
          <w:rFonts w:ascii="Calibri" w:hAnsi="Calibri"/>
          <w:b/>
          <w:szCs w:val="24"/>
        </w:rPr>
        <w:t>2.3 Zapobieganie zagrożeniom związanym</w:t>
      </w:r>
      <w:r w:rsidR="00187F1C">
        <w:rPr>
          <w:rFonts w:ascii="Calibri" w:hAnsi="Calibri"/>
          <w:b/>
          <w:szCs w:val="24"/>
        </w:rPr>
        <w:t xml:space="preserve"> </w:t>
      </w:r>
      <w:r w:rsidR="00187F1C" w:rsidRPr="00187F1C">
        <w:rPr>
          <w:rFonts w:ascii="Calibri" w:hAnsi="Calibri"/>
          <w:b/>
          <w:szCs w:val="24"/>
        </w:rPr>
        <w:t xml:space="preserve">ze zmianą klimatu </w:t>
      </w:r>
      <w:r w:rsidR="00187F1C">
        <w:rPr>
          <w:rFonts w:ascii="Calibri" w:hAnsi="Calibri"/>
          <w:b/>
          <w:szCs w:val="24"/>
        </w:rPr>
        <w:br/>
      </w:r>
      <w:r w:rsidR="00187F1C" w:rsidRPr="00187F1C">
        <w:rPr>
          <w:rFonts w:ascii="Calibri" w:hAnsi="Calibri"/>
          <w:b/>
          <w:szCs w:val="24"/>
        </w:rPr>
        <w:t>FEO 2021 – 2027</w:t>
      </w:r>
      <w:r w:rsidR="00620DD0" w:rsidRPr="004B77D6">
        <w:rPr>
          <w:rFonts w:ascii="Calibri" w:hAnsi="Calibri"/>
          <w:b/>
          <w:szCs w:val="24"/>
        </w:rPr>
        <w:t>.</w:t>
      </w:r>
    </w:p>
    <w:p w14:paraId="17B0BC82" w14:textId="77777777" w:rsidR="00D12BC8" w:rsidRPr="004B77D6" w:rsidRDefault="002D5B77" w:rsidP="0071603D">
      <w:pPr>
        <w:spacing w:after="120" w:line="276" w:lineRule="auto"/>
        <w:rPr>
          <w:rFonts w:asciiTheme="minorHAnsi" w:hAnsiTheme="minorHAnsi" w:cstheme="minorHAnsi"/>
          <w:szCs w:val="24"/>
        </w:rPr>
      </w:pPr>
      <w:r w:rsidRPr="004B77D6">
        <w:rPr>
          <w:rFonts w:asciiTheme="minorHAnsi" w:hAnsiTheme="minorHAnsi" w:cstheme="minorHAnsi"/>
          <w:szCs w:val="24"/>
        </w:rPr>
        <w:t>Zadania realizowane przez poszczególnych partnerów w ramach projektu partnerskiego nie mogą polegać na oferowaniu towarów, świadczeniu usług lub wykonywaniu robót budowlanych na rzecz pozostałych partnerów.</w:t>
      </w:r>
    </w:p>
    <w:p w14:paraId="723C820B"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Ponadto podmioty, które zostały wykluczone z możliwości otrzymania dofinansowania, nie mogą być stroną porozumienia czy umowy o partnerstwie.</w:t>
      </w:r>
    </w:p>
    <w:p w14:paraId="1655D064"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7528517C" w14:textId="192EBF5E" w:rsidR="00FA50FE" w:rsidRPr="004B77D6" w:rsidRDefault="00FA50FE" w:rsidP="0071603D">
      <w:pPr>
        <w:spacing w:after="120" w:line="276" w:lineRule="auto"/>
        <w:rPr>
          <w:rFonts w:ascii="Calibri" w:hAnsi="Calibri"/>
          <w:szCs w:val="24"/>
        </w:rPr>
      </w:pPr>
      <w:r w:rsidRPr="004B77D6">
        <w:rPr>
          <w:rFonts w:ascii="Calibri" w:hAnsi="Calibri"/>
          <w:szCs w:val="24"/>
        </w:rPr>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w:t>
      </w:r>
      <w:r w:rsidR="00F0578C">
        <w:rPr>
          <w:rFonts w:ascii="Calibri" w:hAnsi="Calibri"/>
          <w:szCs w:val="24"/>
        </w:rPr>
        <w:t xml:space="preserve"> (np. upoważnienie do podpisywania załączników do wniosku)</w:t>
      </w:r>
      <w:r w:rsidRPr="004B77D6">
        <w:rPr>
          <w:rFonts w:ascii="Calibri" w:hAnsi="Calibri"/>
          <w:szCs w:val="24"/>
        </w:rPr>
        <w:t>.</w:t>
      </w:r>
    </w:p>
    <w:p w14:paraId="26CAF4FD" w14:textId="37AB15AC" w:rsidR="00FA50FE" w:rsidRPr="004B77D6" w:rsidRDefault="00FA50FE" w:rsidP="0071603D">
      <w:pPr>
        <w:spacing w:after="120" w:line="276" w:lineRule="auto"/>
        <w:rPr>
          <w:rFonts w:ascii="Calibri" w:hAnsi="Calibri"/>
          <w:b/>
          <w:szCs w:val="24"/>
        </w:rPr>
      </w:pPr>
      <w:r w:rsidRPr="004B77D6">
        <w:rPr>
          <w:rFonts w:ascii="Calibri" w:hAnsi="Calibri"/>
          <w:b/>
          <w:szCs w:val="24"/>
        </w:rPr>
        <w:t xml:space="preserve">Każdy partner powinien złożyć wszystkie, adekwatne do charakteru projektu, załączniki wymienione w liście załączników do wniosku o dofinansowanie, poza </w:t>
      </w:r>
      <w:r w:rsidR="00730249" w:rsidRPr="004B77D6">
        <w:rPr>
          <w:rFonts w:ascii="Calibri" w:hAnsi="Calibri"/>
          <w:b/>
          <w:szCs w:val="24"/>
        </w:rPr>
        <w:t>SWI</w:t>
      </w:r>
      <w:r w:rsidRPr="004B77D6">
        <w:rPr>
          <w:rFonts w:ascii="Calibri" w:hAnsi="Calibri"/>
          <w:b/>
          <w:szCs w:val="24"/>
        </w:rPr>
        <w:t xml:space="preserve">. </w:t>
      </w:r>
    </w:p>
    <w:p w14:paraId="532559F6"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Realizacja projektu w partnerstwie wymaga spełnienia niżej wskazanych warunków:</w:t>
      </w:r>
    </w:p>
    <w:p w14:paraId="5AF91A37" w14:textId="7A4908BB" w:rsidR="00FA50FE" w:rsidRPr="004B77D6" w:rsidRDefault="00FA50FE" w:rsidP="0071603D">
      <w:pPr>
        <w:widowControl w:val="0"/>
        <w:numPr>
          <w:ilvl w:val="0"/>
          <w:numId w:val="18"/>
        </w:numPr>
        <w:tabs>
          <w:tab w:val="left" w:pos="0"/>
          <w:tab w:val="left" w:pos="532"/>
          <w:tab w:val="left" w:pos="709"/>
        </w:tabs>
        <w:autoSpaceDE w:val="0"/>
        <w:autoSpaceDN w:val="0"/>
        <w:adjustRightInd w:val="0"/>
        <w:spacing w:after="120" w:line="276" w:lineRule="auto"/>
        <w:ind w:left="357" w:hanging="73"/>
        <w:rPr>
          <w:rFonts w:ascii="Calibri" w:hAnsi="Calibri"/>
          <w:szCs w:val="24"/>
        </w:rPr>
      </w:pPr>
      <w:r w:rsidRPr="004B77D6">
        <w:rPr>
          <w:rFonts w:ascii="Calibri" w:hAnsi="Calibri"/>
          <w:szCs w:val="24"/>
        </w:rPr>
        <w:t xml:space="preserve">Posiadania Partnera wiodącego (będącego stroną </w:t>
      </w:r>
      <w:r w:rsidR="005D5238">
        <w:rPr>
          <w:rFonts w:ascii="Calibri" w:hAnsi="Calibri"/>
          <w:szCs w:val="24"/>
        </w:rPr>
        <w:t>umowy/</w:t>
      </w:r>
      <w:r w:rsidR="0016724D" w:rsidRPr="004B77D6">
        <w:rPr>
          <w:rFonts w:ascii="Calibri" w:hAnsi="Calibri"/>
          <w:szCs w:val="24"/>
        </w:rPr>
        <w:t xml:space="preserve">decyzji </w:t>
      </w:r>
      <w:r w:rsidRPr="004B77D6">
        <w:rPr>
          <w:rFonts w:ascii="Calibri" w:hAnsi="Calibri"/>
          <w:szCs w:val="24"/>
        </w:rPr>
        <w:t>o dofinansowani</w:t>
      </w:r>
      <w:r w:rsidR="0016724D" w:rsidRPr="004B77D6">
        <w:rPr>
          <w:rFonts w:ascii="Calibri" w:hAnsi="Calibri"/>
          <w:szCs w:val="24"/>
        </w:rPr>
        <w:t>u</w:t>
      </w:r>
      <w:r w:rsidRPr="004B77D6">
        <w:rPr>
          <w:rFonts w:ascii="Calibri" w:hAnsi="Calibri"/>
          <w:szCs w:val="24"/>
        </w:rPr>
        <w:t>).</w:t>
      </w:r>
    </w:p>
    <w:p w14:paraId="216FA6BE" w14:textId="77777777" w:rsidR="00FA50FE" w:rsidRPr="004B77D6"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sidRPr="004B77D6">
        <w:rPr>
          <w:rFonts w:ascii="Calibri" w:hAnsi="Calibri"/>
          <w:szCs w:val="24"/>
        </w:rPr>
        <w:t xml:space="preserve">Adekwatności udziału partnerów tj. adekwatności wnoszonych przez nich zasobów </w:t>
      </w:r>
      <w:r w:rsidRPr="004B77D6">
        <w:rPr>
          <w:rFonts w:ascii="Calibri" w:hAnsi="Calibri"/>
          <w:szCs w:val="24"/>
        </w:rPr>
        <w:lastRenderedPageBreak/>
        <w:t xml:space="preserve">ludzkich, organizacyjnych, technicznych i finansowych do zakresu zadań realizowanych przez nich </w:t>
      </w:r>
      <w:r w:rsidRPr="004B77D6">
        <w:rPr>
          <w:rFonts w:ascii="Calibri" w:hAnsi="Calibri"/>
          <w:szCs w:val="24"/>
        </w:rPr>
        <w:br/>
        <w:t>w ramach projektu.</w:t>
      </w:r>
    </w:p>
    <w:p w14:paraId="535C9D0A" w14:textId="77777777" w:rsidR="00FA50FE" w:rsidRPr="004B77D6"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sidRPr="004B77D6">
        <w:rPr>
          <w:rFonts w:ascii="Calibri" w:hAnsi="Calibri"/>
          <w:szCs w:val="24"/>
        </w:rPr>
        <w:t>Wspólnego przygotowania wniosku o dofinansowanie przez Lidera i pozostałych Partnerów.</w:t>
      </w:r>
    </w:p>
    <w:p w14:paraId="2301768E"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 xml:space="preserve">Umowa /porozumienie na realizację wspólnego przedsięwzięcia powinna zawierać m.in.: </w:t>
      </w:r>
    </w:p>
    <w:p w14:paraId="0A2DEAF9" w14:textId="246DB8A3"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Strony umowy</w:t>
      </w:r>
      <w:r w:rsidR="00953591">
        <w:rPr>
          <w:rFonts w:ascii="Calibri" w:hAnsi="Calibri"/>
          <w:szCs w:val="24"/>
        </w:rPr>
        <w:t>;</w:t>
      </w:r>
    </w:p>
    <w:p w14:paraId="1E9C0D94" w14:textId="20511996"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Przedmiot umowy</w:t>
      </w:r>
      <w:r w:rsidR="00953591">
        <w:rPr>
          <w:rFonts w:ascii="Calibri" w:hAnsi="Calibri"/>
          <w:szCs w:val="24"/>
        </w:rPr>
        <w:t>;</w:t>
      </w:r>
    </w:p>
    <w:p w14:paraId="63C1A64E" w14:textId="77777777"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Zakres współpracy (planowanych prac) w ramach wspólnego przedsięwzięcia,</w:t>
      </w:r>
    </w:p>
    <w:p w14:paraId="1715D960" w14:textId="624F62B3"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Zarządzanie projektem, (kto będzie odpowiedzialny za realizację projektu - lider przedsięwzięcia (podmiot wszelkich praw i obowiązków), kto będzie zarządzał projektem)</w:t>
      </w:r>
      <w:r w:rsidR="00953591">
        <w:rPr>
          <w:rFonts w:ascii="Calibri" w:hAnsi="Calibri"/>
          <w:szCs w:val="24"/>
        </w:rPr>
        <w:t>;</w:t>
      </w:r>
    </w:p>
    <w:p w14:paraId="3C4105F3" w14:textId="1A8A4F00"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Obowiązki pozostałych stron umowy (podział obowiązków pozostałych stron podczas realizacji projektu)</w:t>
      </w:r>
      <w:r w:rsidR="00953591">
        <w:rPr>
          <w:rFonts w:ascii="Calibri" w:hAnsi="Calibri"/>
          <w:szCs w:val="24"/>
        </w:rPr>
        <w:t>;</w:t>
      </w:r>
    </w:p>
    <w:p w14:paraId="258E1F75" w14:textId="43358AF6"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Finansowanie wspólnego przedsięwzięcia:, (kto, w jakiej wysokości i w jakich terminach będzie współfinansował projekt, jak będą dokonywane i rozliczane płatności</w:t>
      </w:r>
      <w:r w:rsidR="00A859FC">
        <w:rPr>
          <w:rFonts w:ascii="Calibri" w:hAnsi="Calibri"/>
          <w:szCs w:val="24"/>
        </w:rPr>
        <w:t xml:space="preserve">  </w:t>
      </w:r>
      <w:r w:rsidRPr="004B77D6">
        <w:rPr>
          <w:rFonts w:ascii="Calibri" w:hAnsi="Calibri"/>
          <w:szCs w:val="24"/>
        </w:rPr>
        <w:t>)</w:t>
      </w:r>
      <w:r w:rsidR="00953591">
        <w:rPr>
          <w:rFonts w:ascii="Calibri" w:hAnsi="Calibri"/>
          <w:szCs w:val="24"/>
        </w:rPr>
        <w:t>;</w:t>
      </w:r>
    </w:p>
    <w:p w14:paraId="58599FB9" w14:textId="59A44D3D"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Własność majątku uzyskanego w ramach projektu (czyją własnością będą produkty zrealizowane w ramach projektu?,</w:t>
      </w:r>
      <w:r w:rsidRPr="004B77D6">
        <w:rPr>
          <w:rFonts w:ascii="Calibri" w:hAnsi="Calibri"/>
          <w:b/>
          <w:szCs w:val="24"/>
        </w:rPr>
        <w:t xml:space="preserve"> </w:t>
      </w:r>
      <w:r w:rsidRPr="004B77D6">
        <w:rPr>
          <w:rFonts w:ascii="Calibri" w:hAnsi="Calibri"/>
          <w:szCs w:val="24"/>
        </w:rPr>
        <w:t xml:space="preserve">zobowiązanie o zachowaniu celów projektu zgodnych z wnioskiem aplikacyjnym w ciągu </w:t>
      </w:r>
      <w:r w:rsidR="00666670">
        <w:rPr>
          <w:rFonts w:ascii="Calibri" w:hAnsi="Calibri"/>
          <w:szCs w:val="24"/>
        </w:rPr>
        <w:t>5</w:t>
      </w:r>
      <w:r w:rsidRPr="004B77D6">
        <w:rPr>
          <w:rFonts w:ascii="Calibri" w:hAnsi="Calibri"/>
          <w:szCs w:val="24"/>
        </w:rPr>
        <w:t xml:space="preserve"> lat od daty zakończenia realizacji projektu,</w:t>
      </w:r>
      <w:r w:rsidRPr="004B77D6">
        <w:rPr>
          <w:rFonts w:ascii="Calibri" w:hAnsi="Calibri"/>
          <w:b/>
          <w:szCs w:val="24"/>
        </w:rPr>
        <w:t xml:space="preserve"> </w:t>
      </w:r>
      <w:r w:rsidRPr="004B77D6">
        <w:rPr>
          <w:rFonts w:ascii="Calibri" w:hAnsi="Calibri"/>
          <w:szCs w:val="24"/>
        </w:rPr>
        <w:t xml:space="preserve">zobowiązanie </w:t>
      </w:r>
      <w:r w:rsidR="00A721F7" w:rsidRPr="004B77D6">
        <w:rPr>
          <w:rFonts w:ascii="Calibri" w:hAnsi="Calibri"/>
          <w:szCs w:val="24"/>
        </w:rPr>
        <w:t>W</w:t>
      </w:r>
      <w:r w:rsidRPr="004B77D6">
        <w:rPr>
          <w:rFonts w:ascii="Calibri" w:hAnsi="Calibri"/>
          <w:szCs w:val="24"/>
        </w:rPr>
        <w:t xml:space="preserve">nioskodawcy do utrzymania majątku w przeciągu </w:t>
      </w:r>
      <w:r w:rsidR="00666670">
        <w:rPr>
          <w:rFonts w:ascii="Calibri" w:hAnsi="Calibri"/>
          <w:szCs w:val="24"/>
        </w:rPr>
        <w:t>5</w:t>
      </w:r>
      <w:r w:rsidRPr="004B77D6">
        <w:rPr>
          <w:rFonts w:ascii="Calibri" w:hAnsi="Calibri"/>
          <w:szCs w:val="24"/>
        </w:rPr>
        <w:t xml:space="preserve"> lat od daty zakończenia realizacji projektu)</w:t>
      </w:r>
      <w:r w:rsidR="00953591">
        <w:rPr>
          <w:rFonts w:ascii="Calibri" w:hAnsi="Calibri"/>
          <w:szCs w:val="24"/>
        </w:rPr>
        <w:t>;</w:t>
      </w:r>
    </w:p>
    <w:p w14:paraId="01515C58" w14:textId="21ECD6FE"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Postanowienia końcowe</w:t>
      </w:r>
      <w:r w:rsidR="00953591">
        <w:rPr>
          <w:rFonts w:ascii="Calibri" w:hAnsi="Calibri"/>
          <w:szCs w:val="24"/>
        </w:rPr>
        <w:t>;</w:t>
      </w:r>
    </w:p>
    <w:p w14:paraId="2950512B" w14:textId="77777777"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Oświadczenia wszystkich partnerów z treścią zgodną z oświadczeniami Wnioskodawcy zawartymi we wzorze wniosku o dofinansowanie projektu (w formie załączników).</w:t>
      </w:r>
    </w:p>
    <w:p w14:paraId="0946B71E" w14:textId="77777777" w:rsidR="007F47D2" w:rsidRPr="004B77D6" w:rsidRDefault="00FA50FE" w:rsidP="0071603D">
      <w:pPr>
        <w:spacing w:after="120" w:line="276" w:lineRule="auto"/>
        <w:rPr>
          <w:rFonts w:asciiTheme="minorHAnsi" w:eastAsia="Calibri" w:hAnsiTheme="minorHAnsi"/>
          <w:b/>
          <w:szCs w:val="24"/>
        </w:rPr>
      </w:pPr>
      <w:r w:rsidRPr="004B77D6">
        <w:rPr>
          <w:rFonts w:asciiTheme="minorHAnsi" w:eastAsia="Calibri" w:hAnsiTheme="minorHAnsi"/>
          <w:b/>
          <w:szCs w:val="24"/>
        </w:rPr>
        <w:t xml:space="preserve">Podpisanie umowy partnerskiej musi nastąpić przed dniem złożenia wniosku o dofinansowanie projektu. </w:t>
      </w:r>
    </w:p>
    <w:p w14:paraId="43FFA353" w14:textId="4C2495A1" w:rsidR="004942C3" w:rsidRPr="004B77D6" w:rsidRDefault="004942C3" w:rsidP="0071603D">
      <w:pPr>
        <w:spacing w:after="120" w:line="276" w:lineRule="auto"/>
        <w:rPr>
          <w:rFonts w:ascii="Calibri" w:hAnsi="Calibri" w:cs="MyriadPro-Regular"/>
          <w:szCs w:val="24"/>
        </w:rPr>
      </w:pPr>
    </w:p>
    <w:p w14:paraId="5225C268" w14:textId="0685173A" w:rsidR="00431175" w:rsidRPr="004B77D6" w:rsidRDefault="00987340" w:rsidP="004B77D6">
      <w:pPr>
        <w:pStyle w:val="Nagwek3"/>
        <w:numPr>
          <w:ilvl w:val="0"/>
          <w:numId w:val="0"/>
        </w:numPr>
        <w:suppressAutoHyphens w:val="0"/>
        <w:spacing w:before="0" w:after="120" w:line="276" w:lineRule="auto"/>
        <w:rPr>
          <w:rFonts w:ascii="Calibri" w:hAnsi="Calibri"/>
          <w:sz w:val="28"/>
          <w:szCs w:val="28"/>
        </w:rPr>
      </w:pPr>
      <w:bookmarkStart w:id="127" w:name="_Toc477857450"/>
      <w:bookmarkStart w:id="128" w:name="_Toc184900806"/>
      <w:r>
        <w:rPr>
          <w:rFonts w:ascii="Calibri" w:hAnsi="Calibri"/>
          <w:sz w:val="28"/>
          <w:szCs w:val="28"/>
          <w:lang w:val="pl-PL"/>
        </w:rPr>
        <w:t>7</w:t>
      </w:r>
      <w:r w:rsidR="004B77D6">
        <w:rPr>
          <w:rFonts w:ascii="Calibri" w:hAnsi="Calibri"/>
          <w:sz w:val="28"/>
          <w:szCs w:val="28"/>
          <w:lang w:val="pl-PL"/>
        </w:rPr>
        <w:t xml:space="preserve">. </w:t>
      </w:r>
      <w:r w:rsidR="00A06439" w:rsidRPr="004B77D6">
        <w:rPr>
          <w:rFonts w:ascii="Calibri" w:hAnsi="Calibri"/>
          <w:sz w:val="28"/>
          <w:szCs w:val="28"/>
        </w:rPr>
        <w:t xml:space="preserve">OŚWIADCZENIE </w:t>
      </w:r>
      <w:r w:rsidR="00034F54" w:rsidRPr="004B77D6">
        <w:rPr>
          <w:rFonts w:ascii="Calibri" w:hAnsi="Calibri"/>
          <w:sz w:val="28"/>
          <w:szCs w:val="28"/>
        </w:rPr>
        <w:t>WNIOSKODAWCY</w:t>
      </w:r>
      <w:r w:rsidR="00A06439" w:rsidRPr="004B77D6">
        <w:rPr>
          <w:rFonts w:ascii="Calibri" w:hAnsi="Calibri"/>
          <w:sz w:val="28"/>
          <w:szCs w:val="28"/>
        </w:rPr>
        <w:t xml:space="preserve"> O ZGODNOŚCI PROJEKTU </w:t>
      </w:r>
      <w:r w:rsidR="008D3145" w:rsidRPr="004B77D6">
        <w:rPr>
          <w:rFonts w:ascii="Calibri" w:hAnsi="Calibri"/>
          <w:sz w:val="28"/>
          <w:szCs w:val="28"/>
        </w:rPr>
        <w:br/>
      </w:r>
      <w:r w:rsidR="00A06439" w:rsidRPr="004B77D6">
        <w:rPr>
          <w:rFonts w:ascii="Calibri" w:hAnsi="Calibri"/>
          <w:sz w:val="28"/>
          <w:szCs w:val="28"/>
        </w:rPr>
        <w:t>Z ZASADAMI UDZIELANIA POMOCY PUBLICZNEJ</w:t>
      </w:r>
      <w:bookmarkEnd w:id="127"/>
      <w:bookmarkEnd w:id="128"/>
    </w:p>
    <w:p w14:paraId="0D9FDFCF" w14:textId="26AC6D1B" w:rsidR="000B01EA" w:rsidRPr="004B77D6" w:rsidRDefault="000B01EA" w:rsidP="0071603D">
      <w:pPr>
        <w:spacing w:after="120" w:line="276" w:lineRule="auto"/>
        <w:rPr>
          <w:rFonts w:ascii="Calibri" w:hAnsi="Calibri"/>
          <w:szCs w:val="24"/>
        </w:rPr>
      </w:pPr>
      <w:r w:rsidRPr="004B77D6">
        <w:rPr>
          <w:rFonts w:ascii="Calibri" w:hAnsi="Calibri"/>
          <w:szCs w:val="24"/>
        </w:rPr>
        <w:t xml:space="preserve">Wzór oświadczenia </w:t>
      </w:r>
      <w:r w:rsidR="00666670">
        <w:rPr>
          <w:rFonts w:ascii="Calibri" w:hAnsi="Calibri"/>
          <w:szCs w:val="24"/>
        </w:rPr>
        <w:t xml:space="preserve">Wnioskodawcy /Partnera </w:t>
      </w:r>
      <w:r w:rsidRPr="004B77D6">
        <w:rPr>
          <w:rFonts w:ascii="Calibri" w:hAnsi="Calibri"/>
          <w:szCs w:val="24"/>
        </w:rPr>
        <w:t>o zgodności projektu z pomoc</w:t>
      </w:r>
      <w:r w:rsidR="00666670">
        <w:rPr>
          <w:rFonts w:ascii="Calibri" w:hAnsi="Calibri"/>
          <w:szCs w:val="24"/>
        </w:rPr>
        <w:t>ą</w:t>
      </w:r>
      <w:r w:rsidRPr="004B77D6">
        <w:rPr>
          <w:rFonts w:ascii="Calibri" w:hAnsi="Calibri"/>
          <w:szCs w:val="24"/>
        </w:rPr>
        <w:t xml:space="preserve"> publiczn</w:t>
      </w:r>
      <w:r w:rsidR="00666670">
        <w:rPr>
          <w:rFonts w:ascii="Calibri" w:hAnsi="Calibri"/>
          <w:szCs w:val="24"/>
        </w:rPr>
        <w:t>ą</w:t>
      </w:r>
      <w:r w:rsidRPr="004B77D6">
        <w:rPr>
          <w:rFonts w:ascii="Calibri" w:hAnsi="Calibri"/>
          <w:szCs w:val="24"/>
        </w:rPr>
        <w:t xml:space="preserve"> został umieszczony </w:t>
      </w:r>
      <w:r w:rsidR="004942C3" w:rsidRPr="004B77D6">
        <w:rPr>
          <w:rFonts w:ascii="Calibri" w:hAnsi="Calibri"/>
          <w:szCs w:val="24"/>
        </w:rPr>
        <w:t>w załączniku nr 5</w:t>
      </w:r>
      <w:r w:rsidRPr="004B77D6">
        <w:rPr>
          <w:rFonts w:ascii="Calibri" w:hAnsi="Calibri"/>
          <w:szCs w:val="24"/>
        </w:rPr>
        <w:t xml:space="preserve"> do Regulaminu wyboru projektów.</w:t>
      </w:r>
    </w:p>
    <w:p w14:paraId="4959BB60" w14:textId="404C5702" w:rsidR="0002180E" w:rsidRPr="004B77D6" w:rsidRDefault="006C0052" w:rsidP="0071603D">
      <w:pPr>
        <w:spacing w:after="120" w:line="276" w:lineRule="auto"/>
        <w:rPr>
          <w:rFonts w:ascii="Calibri" w:hAnsi="Calibri"/>
          <w:szCs w:val="24"/>
        </w:rPr>
      </w:pPr>
      <w:r w:rsidRPr="004B77D6">
        <w:rPr>
          <w:rFonts w:ascii="Calibri" w:hAnsi="Calibri"/>
          <w:szCs w:val="24"/>
        </w:rPr>
        <w:lastRenderedPageBreak/>
        <w:t>Wnioskodawca</w:t>
      </w:r>
      <w:r w:rsidR="00A06439" w:rsidRPr="004B77D6">
        <w:rPr>
          <w:rFonts w:ascii="Calibri" w:hAnsi="Calibri"/>
          <w:szCs w:val="24"/>
        </w:rPr>
        <w:t xml:space="preserve"> </w:t>
      </w:r>
      <w:r w:rsidRPr="004B77D6">
        <w:rPr>
          <w:rFonts w:ascii="Calibri" w:hAnsi="Calibri"/>
          <w:szCs w:val="24"/>
        </w:rPr>
        <w:t>zobowiązany jest</w:t>
      </w:r>
      <w:r w:rsidR="00A06439" w:rsidRPr="004B77D6">
        <w:rPr>
          <w:rFonts w:ascii="Calibri" w:hAnsi="Calibri"/>
          <w:szCs w:val="24"/>
        </w:rPr>
        <w:t xml:space="preserve"> do wypełnienia oświadczenia o zgodności projektu </w:t>
      </w:r>
      <w:r w:rsidR="0035449C" w:rsidRPr="004B77D6">
        <w:rPr>
          <w:rFonts w:ascii="Calibri" w:hAnsi="Calibri"/>
          <w:szCs w:val="24"/>
        </w:rPr>
        <w:br/>
      </w:r>
      <w:r w:rsidR="00A06439" w:rsidRPr="004B77D6">
        <w:rPr>
          <w:rFonts w:ascii="Calibri" w:hAnsi="Calibri"/>
          <w:szCs w:val="24"/>
        </w:rPr>
        <w:t>z zasadami udzielania pomocy publicznej zgodnie z obowiązującymi rozporządzeniami dotyczącymi przyznawania pomocy publicznej</w:t>
      </w:r>
      <w:r w:rsidR="00271969" w:rsidRPr="004B77D6">
        <w:rPr>
          <w:rFonts w:ascii="Calibri" w:hAnsi="Calibri"/>
          <w:szCs w:val="24"/>
        </w:rPr>
        <w:t xml:space="preserve"> (zgodnie ze wzorem załącznika nr </w:t>
      </w:r>
      <w:r w:rsidR="00B21759">
        <w:rPr>
          <w:rFonts w:ascii="Calibri" w:hAnsi="Calibri"/>
          <w:szCs w:val="24"/>
        </w:rPr>
        <w:t>7</w:t>
      </w:r>
      <w:r w:rsidR="00271969" w:rsidRPr="004B77D6">
        <w:rPr>
          <w:rFonts w:ascii="Calibri" w:hAnsi="Calibri"/>
          <w:szCs w:val="24"/>
        </w:rPr>
        <w:t xml:space="preserve"> do wniosku o dofinansowanie projektu)</w:t>
      </w:r>
      <w:r w:rsidR="00A06439" w:rsidRPr="004B77D6">
        <w:rPr>
          <w:rFonts w:ascii="Calibri" w:hAnsi="Calibri"/>
          <w:szCs w:val="24"/>
        </w:rPr>
        <w:t>.</w:t>
      </w:r>
    </w:p>
    <w:p w14:paraId="12762E0A" w14:textId="77777777" w:rsidR="00A06439" w:rsidRPr="004B77D6" w:rsidRDefault="00A06439" w:rsidP="0071603D">
      <w:pPr>
        <w:pStyle w:val="NormalnyWeb"/>
        <w:spacing w:before="0" w:beforeAutospacing="0" w:after="120" w:afterAutospacing="0" w:line="276" w:lineRule="auto"/>
        <w:rPr>
          <w:rFonts w:ascii="Calibri" w:hAnsi="Calibri" w:cs="Times New Roman"/>
          <w:color w:val="auto"/>
        </w:rPr>
      </w:pPr>
      <w:r w:rsidRPr="004B77D6">
        <w:rPr>
          <w:rFonts w:ascii="Calibri" w:hAnsi="Calibri" w:cs="Times New Roman"/>
          <w:color w:val="auto"/>
        </w:rPr>
        <w:t>Pomoc publiczna występuje w przypadku, gdy łącznie zostaną spełnione poniższe przesłanki:</w:t>
      </w:r>
    </w:p>
    <w:p w14:paraId="5AD0F924" w14:textId="77777777" w:rsidR="00A06439" w:rsidRPr="004B77D6" w:rsidRDefault="00A06439" w:rsidP="0071603D">
      <w:pPr>
        <w:numPr>
          <w:ilvl w:val="0"/>
          <w:numId w:val="11"/>
        </w:numPr>
        <w:suppressAutoHyphens w:val="0"/>
        <w:spacing w:after="120" w:line="276" w:lineRule="auto"/>
        <w:rPr>
          <w:rFonts w:ascii="Calibri" w:hAnsi="Calibri"/>
          <w:szCs w:val="24"/>
        </w:rPr>
      </w:pPr>
      <w:r w:rsidRPr="004B77D6">
        <w:rPr>
          <w:rFonts w:ascii="Calibri" w:hAnsi="Calibri"/>
          <w:szCs w:val="24"/>
        </w:rPr>
        <w:t>wsparcie jest przyznane przez państwo lub przy wykorzystaniu zasobów państwowych (</w:t>
      </w:r>
      <w:r w:rsidRPr="004B77D6">
        <w:rPr>
          <w:rFonts w:ascii="Calibri" w:hAnsi="Calibri"/>
          <w:b/>
          <w:bCs/>
          <w:szCs w:val="24"/>
        </w:rPr>
        <w:t>środki publiczne</w:t>
      </w:r>
      <w:r w:rsidRPr="004B77D6">
        <w:rPr>
          <w:rFonts w:ascii="Calibri" w:hAnsi="Calibri"/>
          <w:szCs w:val="24"/>
        </w:rPr>
        <w:t>),</w:t>
      </w:r>
    </w:p>
    <w:p w14:paraId="1DF2CD2C" w14:textId="77777777" w:rsidR="00A06439" w:rsidRPr="004B77D6" w:rsidRDefault="00A06439" w:rsidP="0071603D">
      <w:pPr>
        <w:numPr>
          <w:ilvl w:val="0"/>
          <w:numId w:val="11"/>
        </w:numPr>
        <w:suppressAutoHyphens w:val="0"/>
        <w:spacing w:after="120" w:line="276" w:lineRule="auto"/>
        <w:rPr>
          <w:rFonts w:ascii="Calibri" w:hAnsi="Calibri"/>
          <w:szCs w:val="24"/>
        </w:rPr>
      </w:pPr>
      <w:r w:rsidRPr="004B77D6">
        <w:rPr>
          <w:rFonts w:ascii="Calibri" w:hAnsi="Calibri"/>
          <w:szCs w:val="24"/>
        </w:rPr>
        <w:t>wsparcie uprzywilejowuje konkretne przedsiębiorstwa lub grupy przedsiębiorstw, bądź produkcję określonych towarów (</w:t>
      </w:r>
      <w:r w:rsidRPr="004B77D6">
        <w:rPr>
          <w:rFonts w:ascii="Calibri" w:hAnsi="Calibri"/>
          <w:b/>
          <w:bCs/>
          <w:szCs w:val="24"/>
        </w:rPr>
        <w:t>korzyść ekonomiczna i selektywność</w:t>
      </w:r>
      <w:r w:rsidRPr="004B77D6">
        <w:rPr>
          <w:rFonts w:ascii="Calibri" w:hAnsi="Calibri"/>
          <w:szCs w:val="24"/>
        </w:rPr>
        <w:t>),</w:t>
      </w:r>
    </w:p>
    <w:p w14:paraId="06B5C477" w14:textId="77777777" w:rsidR="00A06439" w:rsidRPr="004B77D6" w:rsidRDefault="00A06439" w:rsidP="0071603D">
      <w:pPr>
        <w:numPr>
          <w:ilvl w:val="0"/>
          <w:numId w:val="11"/>
        </w:numPr>
        <w:suppressAutoHyphens w:val="0"/>
        <w:spacing w:after="120" w:line="276" w:lineRule="auto"/>
        <w:rPr>
          <w:rFonts w:ascii="Calibri" w:hAnsi="Calibri"/>
          <w:szCs w:val="24"/>
        </w:rPr>
      </w:pPr>
      <w:r w:rsidRPr="004B77D6">
        <w:rPr>
          <w:rFonts w:ascii="Calibri" w:hAnsi="Calibri"/>
          <w:szCs w:val="24"/>
        </w:rPr>
        <w:t>wsparcie zakłóca lub grozi zakłóceniem konkurencji (</w:t>
      </w:r>
      <w:r w:rsidRPr="004B77D6">
        <w:rPr>
          <w:rFonts w:ascii="Calibri" w:hAnsi="Calibri"/>
          <w:b/>
          <w:bCs/>
          <w:szCs w:val="24"/>
        </w:rPr>
        <w:t>wpływ na konkurencję</w:t>
      </w:r>
      <w:r w:rsidRPr="004B77D6">
        <w:rPr>
          <w:rFonts w:ascii="Calibri" w:hAnsi="Calibri"/>
          <w:szCs w:val="24"/>
        </w:rPr>
        <w:t>),</w:t>
      </w:r>
    </w:p>
    <w:p w14:paraId="063EB48B" w14:textId="77777777" w:rsidR="00D40555" w:rsidRPr="004B77D6" w:rsidRDefault="00A06439" w:rsidP="0071603D">
      <w:pPr>
        <w:numPr>
          <w:ilvl w:val="0"/>
          <w:numId w:val="11"/>
        </w:numPr>
        <w:suppressAutoHyphens w:val="0"/>
        <w:spacing w:after="120" w:line="276" w:lineRule="auto"/>
        <w:rPr>
          <w:rFonts w:ascii="Calibri" w:hAnsi="Calibri"/>
          <w:szCs w:val="24"/>
        </w:rPr>
      </w:pPr>
      <w:r w:rsidRPr="004B77D6">
        <w:rPr>
          <w:rFonts w:ascii="Calibri" w:hAnsi="Calibri"/>
          <w:szCs w:val="24"/>
        </w:rPr>
        <w:t xml:space="preserve">wsparcie </w:t>
      </w:r>
      <w:r w:rsidRPr="004B77D6">
        <w:rPr>
          <w:rFonts w:ascii="Calibri" w:hAnsi="Calibri"/>
          <w:b/>
          <w:bCs/>
          <w:szCs w:val="24"/>
        </w:rPr>
        <w:t>wpływa na wymianę handlową</w:t>
      </w:r>
      <w:r w:rsidRPr="004B77D6">
        <w:rPr>
          <w:rFonts w:ascii="Calibri" w:hAnsi="Calibri"/>
          <w:szCs w:val="24"/>
        </w:rPr>
        <w:t xml:space="preserve"> między państwami członkowskimi, zgodnie </w:t>
      </w:r>
      <w:r w:rsidR="005B2988" w:rsidRPr="004B77D6">
        <w:rPr>
          <w:rFonts w:ascii="Calibri" w:hAnsi="Calibri"/>
          <w:szCs w:val="24"/>
        </w:rPr>
        <w:br/>
      </w:r>
      <w:r w:rsidRPr="004B77D6">
        <w:rPr>
          <w:rFonts w:ascii="Calibri" w:hAnsi="Calibri"/>
          <w:szCs w:val="24"/>
        </w:rPr>
        <w:t>z Traktatem WE, każda pomoc, która wpływa na wymianę handlową między państwami</w:t>
      </w:r>
      <w:r w:rsidR="00F32C34" w:rsidRPr="004B77D6">
        <w:rPr>
          <w:rFonts w:ascii="Calibri" w:hAnsi="Calibri"/>
          <w:szCs w:val="24"/>
        </w:rPr>
        <w:t xml:space="preserve"> </w:t>
      </w:r>
      <w:r w:rsidRPr="004B77D6">
        <w:rPr>
          <w:rFonts w:ascii="Calibri" w:hAnsi="Calibri"/>
          <w:szCs w:val="24"/>
        </w:rPr>
        <w:t>członkowskimi jest uznana za niezgodną ze wspólnym rynkiem.</w:t>
      </w:r>
    </w:p>
    <w:p w14:paraId="2EA0EB86" w14:textId="2203FB9A" w:rsidR="001305BA" w:rsidRPr="004B77D6" w:rsidRDefault="001305BA" w:rsidP="0071603D">
      <w:pPr>
        <w:pStyle w:val="Akapitzlist"/>
        <w:spacing w:after="120"/>
        <w:ind w:left="0"/>
        <w:rPr>
          <w:sz w:val="24"/>
          <w:szCs w:val="24"/>
        </w:rPr>
      </w:pPr>
      <w:bookmarkStart w:id="129" w:name="_Toc427225958"/>
      <w:bookmarkStart w:id="130" w:name="_Toc427226268"/>
      <w:bookmarkStart w:id="131" w:name="_Toc427225959"/>
      <w:bookmarkStart w:id="132" w:name="_Toc427226269"/>
      <w:bookmarkStart w:id="133" w:name="_Toc427225960"/>
      <w:bookmarkStart w:id="134" w:name="_Toc427226270"/>
      <w:bookmarkStart w:id="135" w:name="_Toc427225961"/>
      <w:bookmarkStart w:id="136" w:name="_Toc427226271"/>
      <w:bookmarkStart w:id="137" w:name="_Toc477857451"/>
      <w:bookmarkEnd w:id="129"/>
      <w:bookmarkEnd w:id="130"/>
      <w:bookmarkEnd w:id="131"/>
      <w:bookmarkEnd w:id="132"/>
      <w:bookmarkEnd w:id="133"/>
      <w:bookmarkEnd w:id="134"/>
      <w:bookmarkEnd w:id="135"/>
      <w:bookmarkEnd w:id="136"/>
      <w:r w:rsidRPr="004B77D6">
        <w:rPr>
          <w:sz w:val="24"/>
          <w:szCs w:val="24"/>
        </w:rPr>
        <w:t xml:space="preserve">Zgodnie z zapisami </w:t>
      </w:r>
      <w:r w:rsidR="000B01EA" w:rsidRPr="004B77D6">
        <w:rPr>
          <w:i/>
          <w:sz w:val="24"/>
          <w:szCs w:val="24"/>
          <w:lang w:val="pl-PL"/>
        </w:rPr>
        <w:t>Regulaminu</w:t>
      </w:r>
      <w:r w:rsidR="00F651E3" w:rsidRPr="004B77D6">
        <w:rPr>
          <w:i/>
          <w:sz w:val="24"/>
          <w:szCs w:val="24"/>
        </w:rPr>
        <w:t xml:space="preserve"> wyboru projektów</w:t>
      </w:r>
      <w:r w:rsidR="00F651E3" w:rsidRPr="004B77D6">
        <w:rPr>
          <w:i/>
          <w:color w:val="003300"/>
          <w:sz w:val="24"/>
          <w:szCs w:val="24"/>
        </w:rPr>
        <w:t xml:space="preserve"> </w:t>
      </w:r>
      <w:r w:rsidRPr="004B77D6">
        <w:rPr>
          <w:sz w:val="24"/>
          <w:szCs w:val="24"/>
        </w:rPr>
        <w:t xml:space="preserve">dla działania </w:t>
      </w:r>
      <w:r w:rsidR="00F72390">
        <w:rPr>
          <w:sz w:val="24"/>
          <w:szCs w:val="24"/>
          <w:lang w:val="pl-PL"/>
        </w:rPr>
        <w:t>2</w:t>
      </w:r>
      <w:r w:rsidR="0035449C" w:rsidRPr="004B77D6">
        <w:rPr>
          <w:sz w:val="24"/>
          <w:szCs w:val="24"/>
          <w:lang w:val="pl-PL"/>
        </w:rPr>
        <w:t>.</w:t>
      </w:r>
      <w:r w:rsidR="00187F1C">
        <w:rPr>
          <w:sz w:val="24"/>
          <w:szCs w:val="24"/>
          <w:lang w:val="pl-PL"/>
        </w:rPr>
        <w:t>3</w:t>
      </w:r>
      <w:r w:rsidR="006C0052" w:rsidRPr="004B77D6">
        <w:rPr>
          <w:sz w:val="24"/>
          <w:szCs w:val="24"/>
        </w:rPr>
        <w:t xml:space="preserve"> nie przewiduje się </w:t>
      </w:r>
      <w:r w:rsidRPr="004B77D6">
        <w:rPr>
          <w:sz w:val="24"/>
          <w:szCs w:val="24"/>
        </w:rPr>
        <w:t>udzie</w:t>
      </w:r>
      <w:r w:rsidR="000B01EA" w:rsidRPr="004B77D6">
        <w:rPr>
          <w:sz w:val="24"/>
          <w:szCs w:val="24"/>
        </w:rPr>
        <w:t>lenia wsparcia w ramach pomocy</w:t>
      </w:r>
      <w:r w:rsidR="0035449C" w:rsidRPr="004B77D6">
        <w:rPr>
          <w:sz w:val="24"/>
          <w:szCs w:val="24"/>
          <w:lang w:val="pl-PL"/>
        </w:rPr>
        <w:t xml:space="preserve"> publicznej/</w:t>
      </w:r>
      <w:r w:rsidR="000B01EA" w:rsidRPr="004B77D6">
        <w:rPr>
          <w:sz w:val="24"/>
          <w:szCs w:val="24"/>
        </w:rPr>
        <w:t xml:space="preserve"> </w:t>
      </w:r>
      <w:r w:rsidR="0035449C" w:rsidRPr="004B77D6">
        <w:rPr>
          <w:sz w:val="24"/>
          <w:szCs w:val="24"/>
          <w:lang w:val="pl-PL"/>
        </w:rPr>
        <w:t xml:space="preserve">pomocy </w:t>
      </w:r>
      <w:r w:rsidR="000B01EA" w:rsidRPr="004B77D6">
        <w:rPr>
          <w:i/>
          <w:sz w:val="24"/>
          <w:szCs w:val="24"/>
        </w:rPr>
        <w:t>d</w:t>
      </w:r>
      <w:r w:rsidRPr="004B77D6">
        <w:rPr>
          <w:i/>
          <w:sz w:val="24"/>
          <w:szCs w:val="24"/>
        </w:rPr>
        <w:t xml:space="preserve">e </w:t>
      </w:r>
      <w:proofErr w:type="spellStart"/>
      <w:r w:rsidRPr="004B77D6">
        <w:rPr>
          <w:i/>
          <w:sz w:val="24"/>
          <w:szCs w:val="24"/>
        </w:rPr>
        <w:t>minimis</w:t>
      </w:r>
      <w:proofErr w:type="spellEnd"/>
      <w:r w:rsidR="000B01EA" w:rsidRPr="004B77D6">
        <w:rPr>
          <w:sz w:val="24"/>
          <w:szCs w:val="24"/>
          <w:lang w:val="pl-PL"/>
        </w:rPr>
        <w:t xml:space="preserve"> </w:t>
      </w:r>
      <w:r w:rsidRPr="004B77D6">
        <w:rPr>
          <w:sz w:val="24"/>
          <w:szCs w:val="24"/>
        </w:rPr>
        <w:t xml:space="preserve">W związku </w:t>
      </w:r>
      <w:r w:rsidR="000239FE">
        <w:rPr>
          <w:sz w:val="24"/>
          <w:szCs w:val="24"/>
        </w:rPr>
        <w:br/>
      </w:r>
      <w:r w:rsidR="006C0052" w:rsidRPr="004B77D6">
        <w:rPr>
          <w:sz w:val="24"/>
          <w:szCs w:val="24"/>
        </w:rPr>
        <w:t xml:space="preserve">z powyższym do wniosku </w:t>
      </w:r>
      <w:r w:rsidRPr="004B77D6">
        <w:rPr>
          <w:sz w:val="24"/>
          <w:szCs w:val="24"/>
        </w:rPr>
        <w:t xml:space="preserve">o dofinansowanie </w:t>
      </w:r>
      <w:r w:rsidRPr="004B77D6">
        <w:rPr>
          <w:b/>
          <w:sz w:val="24"/>
          <w:szCs w:val="24"/>
        </w:rPr>
        <w:t>nie są wymagane</w:t>
      </w:r>
      <w:r w:rsidRPr="004B77D6">
        <w:rPr>
          <w:sz w:val="24"/>
          <w:szCs w:val="24"/>
        </w:rPr>
        <w:t xml:space="preserve"> załączniki</w:t>
      </w:r>
      <w:r w:rsidR="006C0052" w:rsidRPr="004B77D6">
        <w:rPr>
          <w:sz w:val="24"/>
          <w:szCs w:val="24"/>
          <w:lang w:val="pl-PL"/>
        </w:rPr>
        <w:t xml:space="preserve"> związane </w:t>
      </w:r>
      <w:r w:rsidR="000239FE">
        <w:rPr>
          <w:sz w:val="24"/>
          <w:szCs w:val="24"/>
          <w:lang w:val="pl-PL"/>
        </w:rPr>
        <w:br/>
      </w:r>
      <w:r w:rsidR="006C0052" w:rsidRPr="004B77D6">
        <w:rPr>
          <w:sz w:val="24"/>
          <w:szCs w:val="24"/>
          <w:lang w:val="pl-PL"/>
        </w:rPr>
        <w:t xml:space="preserve">z </w:t>
      </w:r>
      <w:r w:rsidR="006C0052" w:rsidRPr="004B77D6">
        <w:rPr>
          <w:sz w:val="24"/>
          <w:szCs w:val="24"/>
        </w:rPr>
        <w:t>informacjami</w:t>
      </w:r>
      <w:r w:rsidRPr="004B77D6">
        <w:rPr>
          <w:sz w:val="24"/>
          <w:szCs w:val="24"/>
        </w:rPr>
        <w:t xml:space="preserve"> przedstawianych przy u</w:t>
      </w:r>
      <w:r w:rsidR="006C0052" w:rsidRPr="004B77D6">
        <w:rPr>
          <w:sz w:val="24"/>
          <w:szCs w:val="24"/>
        </w:rPr>
        <w:t>bieganiu się o pomoc</w:t>
      </w:r>
      <w:r w:rsidR="0035449C" w:rsidRPr="004B77D6">
        <w:rPr>
          <w:sz w:val="24"/>
          <w:szCs w:val="24"/>
          <w:lang w:val="pl-PL"/>
        </w:rPr>
        <w:t xml:space="preserve"> publiczną/pomoc</w:t>
      </w:r>
      <w:r w:rsidR="006C0052" w:rsidRPr="004B77D6">
        <w:rPr>
          <w:sz w:val="24"/>
          <w:szCs w:val="24"/>
        </w:rPr>
        <w:t xml:space="preserve"> </w:t>
      </w:r>
      <w:r w:rsidR="006C0052" w:rsidRPr="004B77D6">
        <w:rPr>
          <w:i/>
          <w:sz w:val="24"/>
          <w:szCs w:val="24"/>
        </w:rPr>
        <w:t xml:space="preserve">de </w:t>
      </w:r>
      <w:proofErr w:type="spellStart"/>
      <w:r w:rsidR="006C0052" w:rsidRPr="004B77D6">
        <w:rPr>
          <w:i/>
          <w:sz w:val="24"/>
          <w:szCs w:val="24"/>
        </w:rPr>
        <w:t>minimis</w:t>
      </w:r>
      <w:proofErr w:type="spellEnd"/>
      <w:r w:rsidR="006C0052" w:rsidRPr="004B77D6">
        <w:rPr>
          <w:i/>
          <w:sz w:val="24"/>
          <w:szCs w:val="24"/>
        </w:rPr>
        <w:t>.</w:t>
      </w:r>
    </w:p>
    <w:p w14:paraId="6E7841E7" w14:textId="43FF1B4B" w:rsidR="00D61768" w:rsidRPr="004B77D6" w:rsidRDefault="00987340" w:rsidP="00FA2E31">
      <w:pPr>
        <w:pStyle w:val="Nagwek3"/>
        <w:numPr>
          <w:ilvl w:val="0"/>
          <w:numId w:val="0"/>
        </w:numPr>
        <w:suppressAutoHyphens w:val="0"/>
        <w:spacing w:before="0" w:after="120" w:line="276" w:lineRule="auto"/>
        <w:rPr>
          <w:rFonts w:ascii="Calibri" w:hAnsi="Calibri"/>
          <w:sz w:val="28"/>
          <w:lang w:val="pl-PL"/>
        </w:rPr>
      </w:pPr>
      <w:bookmarkStart w:id="138" w:name="_Toc184900807"/>
      <w:r>
        <w:rPr>
          <w:rFonts w:ascii="Calibri" w:hAnsi="Calibri"/>
          <w:sz w:val="28"/>
          <w:szCs w:val="28"/>
          <w:lang w:val="pl-PL"/>
        </w:rPr>
        <w:t>8</w:t>
      </w:r>
      <w:r w:rsidR="00FA2E31">
        <w:rPr>
          <w:rFonts w:ascii="Calibri" w:hAnsi="Calibri"/>
          <w:sz w:val="28"/>
          <w:szCs w:val="28"/>
          <w:lang w:val="pl-PL"/>
        </w:rPr>
        <w:t>.</w:t>
      </w:r>
      <w:r w:rsidR="00DB2369">
        <w:rPr>
          <w:rFonts w:ascii="Calibri" w:hAnsi="Calibri"/>
          <w:sz w:val="28"/>
          <w:szCs w:val="28"/>
          <w:lang w:val="pl-PL"/>
        </w:rPr>
        <w:t xml:space="preserve"> </w:t>
      </w:r>
      <w:r w:rsidR="00A06439" w:rsidRPr="004B77D6">
        <w:rPr>
          <w:rFonts w:ascii="Calibri" w:hAnsi="Calibri"/>
          <w:sz w:val="28"/>
          <w:szCs w:val="28"/>
        </w:rPr>
        <w:t>INNE NIEZBĘDNE DOKUMENTY WYMAGANE PRAWEM LUB KATEGORIĄ PROJEKTU</w:t>
      </w:r>
      <w:bookmarkEnd w:id="137"/>
      <w:bookmarkEnd w:id="138"/>
    </w:p>
    <w:p w14:paraId="16852D09" w14:textId="77777777" w:rsidR="006C0052" w:rsidRPr="004B77D6" w:rsidRDefault="0014342B" w:rsidP="0071603D">
      <w:pPr>
        <w:spacing w:after="120" w:line="276" w:lineRule="auto"/>
        <w:rPr>
          <w:rFonts w:asciiTheme="minorHAnsi" w:hAnsiTheme="minorHAnsi" w:cstheme="minorHAnsi"/>
          <w:b/>
          <w:szCs w:val="24"/>
        </w:rPr>
      </w:pPr>
      <w:r w:rsidRPr="004B77D6">
        <w:rPr>
          <w:rFonts w:ascii="Calibri" w:hAnsi="Calibri"/>
          <w:szCs w:val="24"/>
        </w:rPr>
        <w:t xml:space="preserve">Wnioskodawca może dołączyć </w:t>
      </w:r>
      <w:r w:rsidRPr="004B77D6">
        <w:rPr>
          <w:rFonts w:ascii="Calibri" w:hAnsi="Calibri"/>
          <w:b/>
          <w:szCs w:val="24"/>
        </w:rPr>
        <w:t xml:space="preserve">wszelkie inne załączniki mogące pomóc w należytej </w:t>
      </w:r>
      <w:r w:rsidR="00CF30A7" w:rsidRPr="004B77D6">
        <w:rPr>
          <w:rFonts w:ascii="Calibri" w:hAnsi="Calibri"/>
          <w:b/>
          <w:szCs w:val="24"/>
        </w:rPr>
        <w:t xml:space="preserve">ocenie </w:t>
      </w:r>
      <w:r w:rsidR="00CF30A7" w:rsidRPr="004B77D6">
        <w:rPr>
          <w:rFonts w:asciiTheme="minorHAnsi" w:hAnsiTheme="minorHAnsi" w:cstheme="minorHAnsi"/>
          <w:b/>
          <w:szCs w:val="24"/>
        </w:rPr>
        <w:t>przedstawionego projektu</w:t>
      </w:r>
      <w:r w:rsidRPr="004B77D6">
        <w:rPr>
          <w:rFonts w:asciiTheme="minorHAnsi" w:hAnsiTheme="minorHAnsi" w:cstheme="minorHAnsi"/>
          <w:b/>
          <w:szCs w:val="24"/>
        </w:rPr>
        <w:t xml:space="preserve"> </w:t>
      </w:r>
    </w:p>
    <w:p w14:paraId="0E1D7E53" w14:textId="21C0272C" w:rsidR="0014342B" w:rsidRDefault="0014342B"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Dodatkowymi dokumentami mogą być np. wszelkie upoważnienia, oświadczenia </w:t>
      </w:r>
      <w:r w:rsidR="005B2988" w:rsidRPr="004B77D6">
        <w:rPr>
          <w:rFonts w:asciiTheme="minorHAnsi" w:hAnsiTheme="minorHAnsi" w:cstheme="minorHAnsi"/>
          <w:szCs w:val="24"/>
        </w:rPr>
        <w:br/>
      </w:r>
      <w:r w:rsidRPr="004B77D6">
        <w:rPr>
          <w:rFonts w:asciiTheme="minorHAnsi" w:hAnsiTheme="minorHAnsi" w:cstheme="minorHAnsi"/>
          <w:szCs w:val="24"/>
        </w:rPr>
        <w:t>o zgodności tytułu wniosku z pozostałymi dokumentami, opinie, ekspertyzy</w:t>
      </w:r>
      <w:r w:rsidR="00C26578" w:rsidRPr="004B77D6">
        <w:rPr>
          <w:rFonts w:asciiTheme="minorHAnsi" w:hAnsiTheme="minorHAnsi" w:cstheme="minorHAnsi"/>
          <w:szCs w:val="24"/>
        </w:rPr>
        <w:t>,</w:t>
      </w:r>
      <w:r w:rsidRPr="004B77D6">
        <w:rPr>
          <w:rFonts w:asciiTheme="minorHAnsi" w:hAnsiTheme="minorHAnsi" w:cstheme="minorHAnsi"/>
          <w:szCs w:val="24"/>
        </w:rPr>
        <w:t xml:space="preserve"> </w:t>
      </w:r>
      <w:r w:rsidR="006C0052" w:rsidRPr="004B77D6">
        <w:rPr>
          <w:rFonts w:asciiTheme="minorHAnsi" w:hAnsiTheme="minorHAnsi" w:cstheme="minorHAnsi"/>
          <w:szCs w:val="24"/>
        </w:rPr>
        <w:t>uchwały</w:t>
      </w:r>
      <w:r w:rsidR="00E101D3" w:rsidRPr="004B77D6">
        <w:rPr>
          <w:rFonts w:asciiTheme="minorHAnsi" w:hAnsiTheme="minorHAnsi" w:cstheme="minorHAnsi"/>
          <w:szCs w:val="24"/>
        </w:rPr>
        <w:t xml:space="preserve"> </w:t>
      </w:r>
      <w:r w:rsidR="00FA2E31">
        <w:rPr>
          <w:rFonts w:asciiTheme="minorHAnsi" w:hAnsiTheme="minorHAnsi" w:cstheme="minorHAnsi"/>
          <w:szCs w:val="24"/>
        </w:rPr>
        <w:br/>
      </w:r>
      <w:r w:rsidR="00385C25" w:rsidRPr="004B77D6">
        <w:rPr>
          <w:rFonts w:asciiTheme="minorHAnsi" w:hAnsiTheme="minorHAnsi" w:cstheme="minorHAnsi"/>
          <w:szCs w:val="24"/>
        </w:rPr>
        <w:t xml:space="preserve">w sprawie </w:t>
      </w:r>
      <w:r w:rsidR="00E101D3" w:rsidRPr="004B77D6">
        <w:rPr>
          <w:rFonts w:asciiTheme="minorHAnsi" w:hAnsiTheme="minorHAnsi" w:cstheme="minorHAnsi"/>
          <w:szCs w:val="24"/>
        </w:rPr>
        <w:t xml:space="preserve">związanej z przedmiotem projektu, umowy o współpracy, dokumenty potwierdzające doświadczenie i potencjał Wnioskodawcy </w:t>
      </w:r>
      <w:r w:rsidR="00385C25" w:rsidRPr="004B77D6">
        <w:rPr>
          <w:rFonts w:asciiTheme="minorHAnsi" w:hAnsiTheme="minorHAnsi" w:cstheme="minorHAnsi"/>
          <w:szCs w:val="24"/>
        </w:rPr>
        <w:t>, itp.</w:t>
      </w:r>
    </w:p>
    <w:p w14:paraId="0B6B0674" w14:textId="77777777" w:rsidR="00CF5A4B" w:rsidRPr="004F515D" w:rsidRDefault="00CF5A4B" w:rsidP="00CF5A4B">
      <w:pPr>
        <w:spacing w:after="120" w:line="276" w:lineRule="auto"/>
        <w:rPr>
          <w:rFonts w:asciiTheme="minorHAnsi" w:hAnsiTheme="minorHAnsi" w:cstheme="minorHAnsi"/>
          <w:szCs w:val="24"/>
        </w:rPr>
      </w:pPr>
      <w:r w:rsidRPr="004F515D">
        <w:rPr>
          <w:rFonts w:asciiTheme="minorHAnsi" w:hAnsiTheme="minorHAnsi" w:cstheme="minorHAnsi"/>
          <w:szCs w:val="24"/>
        </w:rPr>
        <w:t xml:space="preserve">Wnioskodawca, dołączając </w:t>
      </w:r>
      <w:r>
        <w:rPr>
          <w:rFonts w:asciiTheme="minorHAnsi" w:hAnsiTheme="minorHAnsi" w:cstheme="minorHAnsi"/>
          <w:szCs w:val="24"/>
        </w:rPr>
        <w:t xml:space="preserve">dodatkowe </w:t>
      </w:r>
      <w:r w:rsidRPr="004F515D">
        <w:rPr>
          <w:rFonts w:asciiTheme="minorHAnsi" w:hAnsiTheme="minorHAnsi" w:cstheme="minorHAnsi"/>
          <w:szCs w:val="24"/>
        </w:rPr>
        <w:t xml:space="preserve">dokumenty zobowiązany jest zachować chronologiczną numerację załączników (tj. Załącznik nr 8.2; Załącznik nr 8.3, Załącznik nr 8.4, itd.). </w:t>
      </w:r>
    </w:p>
    <w:p w14:paraId="0DC01EFB" w14:textId="7820E5CB" w:rsidR="001C025F" w:rsidRPr="004B77D6" w:rsidRDefault="00F541D7" w:rsidP="0089006E">
      <w:pPr>
        <w:pStyle w:val="Akapitzlist"/>
        <w:numPr>
          <w:ilvl w:val="0"/>
          <w:numId w:val="20"/>
        </w:numPr>
        <w:spacing w:after="120"/>
        <w:rPr>
          <w:rFonts w:asciiTheme="minorHAnsi" w:hAnsiTheme="minorHAnsi" w:cstheme="minorHAnsi"/>
          <w:sz w:val="24"/>
          <w:szCs w:val="24"/>
        </w:rPr>
      </w:pPr>
      <w:r w:rsidRPr="004B77D6">
        <w:rPr>
          <w:rFonts w:asciiTheme="minorHAnsi" w:hAnsiTheme="minorHAnsi" w:cstheme="minorHAnsi"/>
          <w:sz w:val="24"/>
          <w:szCs w:val="24"/>
        </w:rPr>
        <w:t xml:space="preserve">W przypadku </w:t>
      </w:r>
      <w:r w:rsidRPr="004B77D6">
        <w:rPr>
          <w:rFonts w:asciiTheme="minorHAnsi" w:hAnsiTheme="minorHAnsi" w:cstheme="minorHAnsi"/>
          <w:b/>
          <w:sz w:val="24"/>
          <w:szCs w:val="24"/>
        </w:rPr>
        <w:t>projektów infrastrukturalnych</w:t>
      </w:r>
      <w:r w:rsidR="0012355D" w:rsidRPr="004B77D6">
        <w:rPr>
          <w:rFonts w:asciiTheme="minorHAnsi" w:hAnsiTheme="minorHAnsi" w:cstheme="minorHAnsi"/>
          <w:sz w:val="24"/>
          <w:szCs w:val="24"/>
        </w:rPr>
        <w:t>, obejmujących prace budowalne,</w:t>
      </w:r>
      <w:r w:rsidRPr="004B77D6">
        <w:rPr>
          <w:rFonts w:asciiTheme="minorHAnsi" w:hAnsiTheme="minorHAnsi" w:cstheme="minorHAnsi"/>
          <w:sz w:val="24"/>
          <w:szCs w:val="24"/>
        </w:rPr>
        <w:t xml:space="preserve"> </w:t>
      </w:r>
      <w:r w:rsidR="00A721F7" w:rsidRPr="004B77D6">
        <w:rPr>
          <w:rFonts w:asciiTheme="minorHAnsi" w:hAnsiTheme="minorHAnsi" w:cstheme="minorHAnsi"/>
          <w:sz w:val="24"/>
          <w:szCs w:val="24"/>
          <w:lang w:val="pl-PL"/>
        </w:rPr>
        <w:t>W</w:t>
      </w:r>
      <w:proofErr w:type="spellStart"/>
      <w:r w:rsidR="0012355D" w:rsidRPr="004B77D6">
        <w:rPr>
          <w:rFonts w:asciiTheme="minorHAnsi" w:hAnsiTheme="minorHAnsi" w:cstheme="minorHAnsi"/>
          <w:sz w:val="24"/>
          <w:szCs w:val="24"/>
        </w:rPr>
        <w:t>nioskodawca</w:t>
      </w:r>
      <w:proofErr w:type="spellEnd"/>
      <w:r w:rsidR="0012355D" w:rsidRPr="004B77D6">
        <w:rPr>
          <w:rFonts w:asciiTheme="minorHAnsi" w:hAnsiTheme="minorHAnsi" w:cstheme="minorHAnsi"/>
          <w:sz w:val="24"/>
          <w:szCs w:val="24"/>
        </w:rPr>
        <w:t xml:space="preserve"> może zostać wezwany </w:t>
      </w:r>
      <w:r w:rsidR="00C44A60" w:rsidRPr="004B77D6">
        <w:rPr>
          <w:rFonts w:asciiTheme="minorHAnsi" w:hAnsiTheme="minorHAnsi" w:cstheme="minorHAnsi"/>
          <w:sz w:val="24"/>
          <w:szCs w:val="24"/>
        </w:rPr>
        <w:t>przez Komisj</w:t>
      </w:r>
      <w:r w:rsidR="00A859FC">
        <w:rPr>
          <w:rFonts w:asciiTheme="minorHAnsi" w:hAnsiTheme="minorHAnsi" w:cstheme="minorHAnsi"/>
          <w:sz w:val="24"/>
          <w:szCs w:val="24"/>
        </w:rPr>
        <w:t>ę</w:t>
      </w:r>
      <w:r w:rsidR="00C44A60" w:rsidRPr="004B77D6">
        <w:rPr>
          <w:rFonts w:asciiTheme="minorHAnsi" w:hAnsiTheme="minorHAnsi" w:cstheme="minorHAnsi"/>
          <w:sz w:val="24"/>
          <w:szCs w:val="24"/>
        </w:rPr>
        <w:t xml:space="preserve"> Oceny Projektów </w:t>
      </w:r>
      <w:r w:rsidR="0012355D" w:rsidRPr="004B77D6">
        <w:rPr>
          <w:rFonts w:asciiTheme="minorHAnsi" w:hAnsiTheme="minorHAnsi" w:cstheme="minorHAnsi"/>
          <w:sz w:val="24"/>
          <w:szCs w:val="24"/>
        </w:rPr>
        <w:t>do przedstawienia projektu budowalnego/programu funkcjonalno-użytkowego, dokumentów dot. zagospodarowania</w:t>
      </w:r>
      <w:r w:rsidR="00C44A60" w:rsidRPr="004B77D6">
        <w:rPr>
          <w:rFonts w:asciiTheme="minorHAnsi" w:hAnsiTheme="minorHAnsi" w:cstheme="minorHAnsi"/>
          <w:sz w:val="24"/>
          <w:szCs w:val="24"/>
        </w:rPr>
        <w:t xml:space="preserve"> przestrzennego, jak również </w:t>
      </w:r>
      <w:r w:rsidR="0012355D" w:rsidRPr="004B77D6">
        <w:rPr>
          <w:rFonts w:asciiTheme="minorHAnsi" w:hAnsiTheme="minorHAnsi" w:cstheme="minorHAnsi"/>
          <w:sz w:val="24"/>
          <w:szCs w:val="24"/>
        </w:rPr>
        <w:t>przedstawienia kosztorysó</w:t>
      </w:r>
      <w:r w:rsidR="00C44A60" w:rsidRPr="004B77D6">
        <w:rPr>
          <w:rFonts w:asciiTheme="minorHAnsi" w:hAnsiTheme="minorHAnsi" w:cstheme="minorHAnsi"/>
          <w:sz w:val="24"/>
          <w:szCs w:val="24"/>
        </w:rPr>
        <w:t>w inwestorskich, potwierdzających przyjęte koszty.</w:t>
      </w:r>
    </w:p>
    <w:p w14:paraId="37FEAFFC" w14:textId="454A96E2" w:rsidR="003E3759" w:rsidRPr="003E3759" w:rsidRDefault="00FA2E31" w:rsidP="003E3759">
      <w:pPr>
        <w:pStyle w:val="Akapitzlist"/>
        <w:numPr>
          <w:ilvl w:val="0"/>
          <w:numId w:val="20"/>
        </w:numPr>
        <w:rPr>
          <w:rFonts w:cstheme="minorHAnsi"/>
          <w:sz w:val="24"/>
          <w:szCs w:val="24"/>
        </w:rPr>
      </w:pPr>
      <w:r w:rsidRPr="00FA2E31">
        <w:rPr>
          <w:rFonts w:cstheme="minorHAnsi"/>
          <w:sz w:val="24"/>
          <w:szCs w:val="24"/>
        </w:rPr>
        <w:lastRenderedPageBreak/>
        <w:t xml:space="preserve">W </w:t>
      </w:r>
      <w:r w:rsidRPr="00FA2E31">
        <w:rPr>
          <w:rFonts w:cstheme="minorHAnsi"/>
          <w:sz w:val="24"/>
          <w:szCs w:val="24"/>
          <w:lang w:val="pl-PL"/>
        </w:rPr>
        <w:t xml:space="preserve">przypadku </w:t>
      </w:r>
      <w:r w:rsidRPr="00FA2E31">
        <w:rPr>
          <w:rFonts w:cstheme="minorHAnsi"/>
          <w:sz w:val="24"/>
          <w:szCs w:val="24"/>
        </w:rPr>
        <w:t>projek</w:t>
      </w:r>
      <w:r w:rsidRPr="00FA2E31">
        <w:rPr>
          <w:rFonts w:cstheme="minorHAnsi"/>
          <w:sz w:val="24"/>
          <w:szCs w:val="24"/>
          <w:lang w:val="pl-PL"/>
        </w:rPr>
        <w:t>tu</w:t>
      </w:r>
      <w:r w:rsidRPr="00FA2E31">
        <w:rPr>
          <w:rFonts w:cstheme="minorHAnsi"/>
          <w:sz w:val="24"/>
          <w:szCs w:val="24"/>
        </w:rPr>
        <w:t>, którego łączny koszt wynosi co najmniej 5 mln EUR (włączając VAT), podatek VAT może być kwalifikowalny, gdy brak jest prawnej możliwości odzyskania podatku VAT</w:t>
      </w:r>
      <w:r>
        <w:rPr>
          <w:rFonts w:cstheme="minorHAnsi"/>
          <w:sz w:val="24"/>
          <w:szCs w:val="24"/>
          <w:lang w:val="pl-PL"/>
        </w:rPr>
        <w:t>,</w:t>
      </w:r>
      <w:r w:rsidRPr="00FA2E31">
        <w:rPr>
          <w:rFonts w:cstheme="minorHAnsi"/>
          <w:sz w:val="24"/>
          <w:szCs w:val="24"/>
        </w:rPr>
        <w:t xml:space="preserve"> zgodnie z przepisami prawa krajowego.</w:t>
      </w:r>
      <w:r>
        <w:rPr>
          <w:rFonts w:cstheme="minorHAnsi"/>
          <w:sz w:val="24"/>
          <w:szCs w:val="24"/>
          <w:lang w:val="pl-PL"/>
        </w:rPr>
        <w:t xml:space="preserve"> W takiej sytuacji </w:t>
      </w:r>
      <w:r w:rsidR="00A721F7" w:rsidRPr="00FA2E31">
        <w:rPr>
          <w:rFonts w:asciiTheme="minorHAnsi" w:hAnsiTheme="minorHAnsi" w:cstheme="minorHAnsi"/>
          <w:sz w:val="24"/>
          <w:szCs w:val="24"/>
          <w:lang w:val="pl-PL"/>
        </w:rPr>
        <w:t>W</w:t>
      </w:r>
      <w:proofErr w:type="spellStart"/>
      <w:r w:rsidR="00A63277" w:rsidRPr="00FA2E31">
        <w:rPr>
          <w:rFonts w:asciiTheme="minorHAnsi" w:hAnsiTheme="minorHAnsi" w:cstheme="minorHAnsi"/>
          <w:sz w:val="24"/>
          <w:szCs w:val="24"/>
        </w:rPr>
        <w:t>nioskodawca</w:t>
      </w:r>
      <w:proofErr w:type="spellEnd"/>
      <w:r w:rsidR="00A63277" w:rsidRPr="00FA2E31">
        <w:rPr>
          <w:rFonts w:asciiTheme="minorHAnsi" w:hAnsiTheme="minorHAnsi" w:cstheme="minorHAnsi"/>
          <w:sz w:val="24"/>
          <w:szCs w:val="24"/>
        </w:rPr>
        <w:t xml:space="preserve"> zobowiązany jest do załączenia do wniosku </w:t>
      </w:r>
      <w:r w:rsidR="00A63277" w:rsidRPr="00FA2E31">
        <w:rPr>
          <w:rFonts w:asciiTheme="minorHAnsi" w:hAnsiTheme="minorHAnsi" w:cstheme="minorHAnsi"/>
          <w:b/>
          <w:sz w:val="24"/>
          <w:szCs w:val="24"/>
        </w:rPr>
        <w:t>interpretacji przepisów prawa podatkowego</w:t>
      </w:r>
      <w:r w:rsidR="00A63277" w:rsidRPr="00FA2E31">
        <w:rPr>
          <w:rFonts w:asciiTheme="minorHAnsi" w:hAnsiTheme="minorHAnsi" w:cstheme="minorHAnsi"/>
          <w:sz w:val="24"/>
          <w:szCs w:val="24"/>
        </w:rPr>
        <w:t xml:space="preserve">, wydanej przez właściwy organ. W sytuacji, gdy </w:t>
      </w:r>
      <w:r w:rsidR="0016724D" w:rsidRPr="00FA2E31">
        <w:rPr>
          <w:rFonts w:asciiTheme="minorHAnsi" w:hAnsiTheme="minorHAnsi" w:cstheme="minorHAnsi"/>
          <w:sz w:val="24"/>
          <w:szCs w:val="24"/>
          <w:lang w:val="pl-PL"/>
        </w:rPr>
        <w:t>Wnioskodawca</w:t>
      </w:r>
      <w:r w:rsidR="0016724D" w:rsidRPr="00FA2E31">
        <w:rPr>
          <w:rFonts w:asciiTheme="minorHAnsi" w:hAnsiTheme="minorHAnsi" w:cstheme="minorHAnsi"/>
          <w:sz w:val="24"/>
          <w:szCs w:val="24"/>
        </w:rPr>
        <w:t xml:space="preserve"> </w:t>
      </w:r>
      <w:r w:rsidR="00A63277" w:rsidRPr="00FA2E31">
        <w:rPr>
          <w:rFonts w:asciiTheme="minorHAnsi" w:hAnsiTheme="minorHAnsi" w:cstheme="minorHAnsi"/>
          <w:sz w:val="24"/>
          <w:szCs w:val="24"/>
        </w:rPr>
        <w:t xml:space="preserve">nie jest w stanie dostarczyć indywidualnej interpretacji na etapie naboru wniosków </w:t>
      </w:r>
      <w:r>
        <w:rPr>
          <w:rFonts w:asciiTheme="minorHAnsi" w:hAnsiTheme="minorHAnsi" w:cstheme="minorHAnsi"/>
          <w:sz w:val="24"/>
          <w:szCs w:val="24"/>
        </w:rPr>
        <w:br/>
      </w:r>
      <w:r w:rsidR="00A63277" w:rsidRPr="00FA2E31">
        <w:rPr>
          <w:rFonts w:asciiTheme="minorHAnsi" w:hAnsiTheme="minorHAnsi" w:cstheme="minorHAnsi"/>
          <w:sz w:val="24"/>
          <w:szCs w:val="24"/>
        </w:rPr>
        <w:t xml:space="preserve">o dofinansowanie projektów, zobowiązany jest dołączyć do wniosku </w:t>
      </w:r>
      <w:r>
        <w:rPr>
          <w:rFonts w:asciiTheme="minorHAnsi" w:hAnsiTheme="minorHAnsi" w:cstheme="minorHAnsi"/>
          <w:sz w:val="24"/>
          <w:szCs w:val="24"/>
        </w:rPr>
        <w:br/>
      </w:r>
      <w:r w:rsidR="00A63277" w:rsidRPr="00FA2E31">
        <w:rPr>
          <w:rFonts w:asciiTheme="minorHAnsi" w:hAnsiTheme="minorHAnsi" w:cstheme="minorHAnsi"/>
          <w:sz w:val="24"/>
          <w:szCs w:val="24"/>
        </w:rPr>
        <w:t xml:space="preserve">o dofinansowanie kserokopię wniosku o wydanie interpretacji indywidualnej, który złożył do właściwego organu, wraz z oświadczeniem, iż niezwłocznie po otrzymaniu indywidualnej interpretacji przedłoży ją do </w:t>
      </w:r>
      <w:r w:rsidR="00A626D1" w:rsidRPr="00FA2E31">
        <w:rPr>
          <w:rFonts w:asciiTheme="minorHAnsi" w:hAnsiTheme="minorHAnsi" w:cstheme="minorHAnsi"/>
          <w:sz w:val="24"/>
          <w:szCs w:val="24"/>
        </w:rPr>
        <w:t>I</w:t>
      </w:r>
      <w:r w:rsidR="00A626D1" w:rsidRPr="00FA2E31">
        <w:rPr>
          <w:rFonts w:asciiTheme="minorHAnsi" w:hAnsiTheme="minorHAnsi" w:cstheme="minorHAnsi"/>
          <w:sz w:val="24"/>
          <w:szCs w:val="24"/>
          <w:lang w:val="pl-PL"/>
        </w:rPr>
        <w:t>Z</w:t>
      </w:r>
      <w:r w:rsidR="000B01EA" w:rsidRPr="00FA2E31">
        <w:rPr>
          <w:rFonts w:asciiTheme="minorHAnsi" w:hAnsiTheme="minorHAnsi" w:cstheme="minorHAnsi"/>
          <w:sz w:val="24"/>
          <w:szCs w:val="24"/>
        </w:rPr>
        <w:t xml:space="preserve"> 2021-2027</w:t>
      </w:r>
      <w:r w:rsidR="00A63277" w:rsidRPr="00FA2E31">
        <w:rPr>
          <w:rFonts w:asciiTheme="minorHAnsi" w:hAnsiTheme="minorHAnsi" w:cstheme="minorHAnsi"/>
          <w:sz w:val="24"/>
          <w:szCs w:val="24"/>
        </w:rPr>
        <w:t xml:space="preserve"> (maksymalnym terminem dostarczenia indywidua</w:t>
      </w:r>
      <w:r w:rsidR="000B01EA" w:rsidRPr="00FA2E31">
        <w:rPr>
          <w:rFonts w:asciiTheme="minorHAnsi" w:hAnsiTheme="minorHAnsi" w:cstheme="minorHAnsi"/>
          <w:sz w:val="24"/>
          <w:szCs w:val="24"/>
        </w:rPr>
        <w:t xml:space="preserve">lnej interpretacji jest okres </w:t>
      </w:r>
      <w:r w:rsidR="00312A44">
        <w:rPr>
          <w:rFonts w:asciiTheme="minorHAnsi" w:hAnsiTheme="minorHAnsi" w:cstheme="minorHAnsi"/>
          <w:sz w:val="24"/>
          <w:szCs w:val="24"/>
        </w:rPr>
        <w:t>6</w:t>
      </w:r>
      <w:r>
        <w:rPr>
          <w:rFonts w:asciiTheme="minorHAnsi" w:hAnsiTheme="minorHAnsi" w:cstheme="minorHAnsi"/>
          <w:sz w:val="24"/>
          <w:szCs w:val="24"/>
        </w:rPr>
        <w:t>0</w:t>
      </w:r>
      <w:r w:rsidR="00A63277" w:rsidRPr="00FA2E31">
        <w:rPr>
          <w:rFonts w:asciiTheme="minorHAnsi" w:hAnsiTheme="minorHAnsi" w:cstheme="minorHAnsi"/>
          <w:sz w:val="24"/>
          <w:szCs w:val="24"/>
        </w:rPr>
        <w:t xml:space="preserve"> dni</w:t>
      </w:r>
      <w:r w:rsidR="000B01EA" w:rsidRPr="00FA2E31">
        <w:rPr>
          <w:rFonts w:asciiTheme="minorHAnsi" w:hAnsiTheme="minorHAnsi" w:cstheme="minorHAnsi"/>
          <w:sz w:val="24"/>
          <w:szCs w:val="24"/>
        </w:rPr>
        <w:t xml:space="preserve"> </w:t>
      </w:r>
      <w:r w:rsidR="00A63277" w:rsidRPr="00FA2E31">
        <w:rPr>
          <w:rFonts w:asciiTheme="minorHAnsi" w:hAnsiTheme="minorHAnsi" w:cstheme="minorHAnsi"/>
          <w:sz w:val="24"/>
          <w:szCs w:val="24"/>
        </w:rPr>
        <w:t xml:space="preserve">od dnia przyjęcia przez Zarząd Województwa Opolskiego – IZ </w:t>
      </w:r>
      <w:r w:rsidR="00E101D3" w:rsidRPr="00FA2E31">
        <w:rPr>
          <w:rFonts w:asciiTheme="minorHAnsi" w:hAnsiTheme="minorHAnsi" w:cstheme="minorHAnsi"/>
          <w:sz w:val="24"/>
          <w:szCs w:val="24"/>
        </w:rPr>
        <w:t xml:space="preserve">FEO 2021-2027 Uchwały </w:t>
      </w:r>
      <w:r w:rsidR="00A63277" w:rsidRPr="00FA2E31">
        <w:rPr>
          <w:rFonts w:asciiTheme="minorHAnsi" w:hAnsiTheme="minorHAnsi" w:cstheme="minorHAnsi"/>
          <w:sz w:val="24"/>
          <w:szCs w:val="24"/>
        </w:rPr>
        <w:t>o wyborze projektów do dofinansowania). W uzasadnionych przypadkach na prośbę Wnioskodawcy ZWO może wyrazić zgodę na wydłużenie ww. terminu</w:t>
      </w:r>
      <w:r w:rsidR="003E3759">
        <w:rPr>
          <w:rFonts w:asciiTheme="minorHAnsi" w:hAnsiTheme="minorHAnsi" w:cstheme="minorHAnsi"/>
          <w:sz w:val="24"/>
          <w:szCs w:val="24"/>
          <w:lang w:val="pl-PL"/>
        </w:rPr>
        <w:t>.</w:t>
      </w:r>
    </w:p>
    <w:p w14:paraId="77B829A9" w14:textId="3644789D" w:rsidR="001C025F" w:rsidRDefault="00CE06CB" w:rsidP="0089006E">
      <w:pPr>
        <w:pStyle w:val="Akapitzlist"/>
        <w:numPr>
          <w:ilvl w:val="0"/>
          <w:numId w:val="20"/>
        </w:numPr>
        <w:spacing w:after="120"/>
        <w:rPr>
          <w:rFonts w:asciiTheme="minorHAnsi" w:hAnsiTheme="minorHAnsi" w:cstheme="minorHAnsi"/>
          <w:sz w:val="24"/>
          <w:szCs w:val="24"/>
        </w:rPr>
      </w:pPr>
      <w:r w:rsidRPr="004B77D6">
        <w:rPr>
          <w:rFonts w:asciiTheme="minorHAnsi" w:hAnsiTheme="minorHAnsi" w:cstheme="minorHAnsi"/>
          <w:b/>
          <w:sz w:val="24"/>
          <w:szCs w:val="24"/>
          <w:u w:val="single"/>
        </w:rPr>
        <w:t>Ponadto</w:t>
      </w:r>
      <w:r w:rsidR="00FD7CF7" w:rsidRPr="004B77D6">
        <w:rPr>
          <w:rFonts w:asciiTheme="minorHAnsi" w:hAnsiTheme="minorHAnsi" w:cstheme="minorHAnsi"/>
          <w:b/>
          <w:sz w:val="24"/>
          <w:szCs w:val="24"/>
          <w:u w:val="single"/>
          <w:lang w:val="pl-PL"/>
        </w:rPr>
        <w:t>,</w:t>
      </w:r>
      <w:r w:rsidRPr="004B77D6">
        <w:rPr>
          <w:rFonts w:asciiTheme="minorHAnsi" w:hAnsiTheme="minorHAnsi" w:cstheme="minorHAnsi"/>
          <w:b/>
          <w:sz w:val="24"/>
          <w:szCs w:val="24"/>
          <w:u w:val="single"/>
        </w:rPr>
        <w:t xml:space="preserve"> każdy </w:t>
      </w:r>
      <w:r w:rsidR="00A721F7" w:rsidRPr="004B77D6">
        <w:rPr>
          <w:rFonts w:asciiTheme="minorHAnsi" w:hAnsiTheme="minorHAnsi" w:cstheme="minorHAnsi"/>
          <w:b/>
          <w:sz w:val="24"/>
          <w:szCs w:val="24"/>
          <w:u w:val="single"/>
          <w:lang w:val="pl-PL"/>
        </w:rPr>
        <w:t>W</w:t>
      </w:r>
      <w:proofErr w:type="spellStart"/>
      <w:r w:rsidRPr="004B77D6">
        <w:rPr>
          <w:rFonts w:asciiTheme="minorHAnsi" w:hAnsiTheme="minorHAnsi" w:cstheme="minorHAnsi"/>
          <w:b/>
          <w:sz w:val="24"/>
          <w:szCs w:val="24"/>
          <w:u w:val="single"/>
        </w:rPr>
        <w:t>nioskodawca</w:t>
      </w:r>
      <w:proofErr w:type="spellEnd"/>
      <w:r w:rsidR="00DD4ACF">
        <w:rPr>
          <w:rFonts w:asciiTheme="minorHAnsi" w:hAnsiTheme="minorHAnsi" w:cstheme="minorHAnsi"/>
          <w:b/>
          <w:sz w:val="24"/>
          <w:szCs w:val="24"/>
          <w:u w:val="single"/>
        </w:rPr>
        <w:t>/Partner niebędący JST</w:t>
      </w:r>
      <w:r w:rsidRPr="004B77D6">
        <w:rPr>
          <w:rFonts w:asciiTheme="minorHAnsi" w:hAnsiTheme="minorHAnsi" w:cstheme="minorHAnsi"/>
          <w:b/>
          <w:sz w:val="24"/>
          <w:szCs w:val="24"/>
          <w:u w:val="single"/>
        </w:rPr>
        <w:t>,</w:t>
      </w:r>
      <w:r w:rsidR="000B01EA" w:rsidRPr="004B77D6">
        <w:rPr>
          <w:rFonts w:asciiTheme="minorHAnsi" w:hAnsiTheme="minorHAnsi" w:cstheme="minorHAnsi"/>
          <w:sz w:val="24"/>
          <w:szCs w:val="24"/>
        </w:rPr>
        <w:t xml:space="preserve"> na etapie oceny projektu lub bezpośrednio przed</w:t>
      </w:r>
      <w:r w:rsidR="00FD7CF7" w:rsidRPr="004B77D6">
        <w:rPr>
          <w:rFonts w:asciiTheme="minorHAnsi" w:hAnsiTheme="minorHAnsi" w:cstheme="minorHAnsi"/>
          <w:sz w:val="24"/>
          <w:szCs w:val="24"/>
          <w:lang w:val="pl-PL"/>
        </w:rPr>
        <w:t xml:space="preserve"> podpisaniem</w:t>
      </w:r>
      <w:r w:rsidR="000B01EA" w:rsidRPr="004B77D6">
        <w:rPr>
          <w:rFonts w:asciiTheme="minorHAnsi" w:hAnsiTheme="minorHAnsi" w:cstheme="minorHAnsi"/>
          <w:sz w:val="24"/>
          <w:szCs w:val="24"/>
        </w:rPr>
        <w:t xml:space="preserve"> </w:t>
      </w:r>
      <w:r w:rsidR="00DD4ACF">
        <w:rPr>
          <w:rFonts w:asciiTheme="minorHAnsi" w:hAnsiTheme="minorHAnsi" w:cstheme="minorHAnsi"/>
          <w:sz w:val="24"/>
          <w:szCs w:val="24"/>
        </w:rPr>
        <w:t>umowy/</w:t>
      </w:r>
      <w:r w:rsidR="0016724D" w:rsidRPr="004B77D6">
        <w:rPr>
          <w:rFonts w:asciiTheme="minorHAnsi" w:hAnsiTheme="minorHAnsi" w:cstheme="minorHAnsi"/>
          <w:sz w:val="24"/>
          <w:szCs w:val="24"/>
          <w:lang w:val="pl-PL"/>
        </w:rPr>
        <w:t>decyzj</w:t>
      </w:r>
      <w:r w:rsidR="00FD7CF7" w:rsidRPr="004B77D6">
        <w:rPr>
          <w:rFonts w:asciiTheme="minorHAnsi" w:hAnsiTheme="minorHAnsi" w:cstheme="minorHAnsi"/>
          <w:sz w:val="24"/>
          <w:szCs w:val="24"/>
          <w:lang w:val="pl-PL"/>
        </w:rPr>
        <w:t>i</w:t>
      </w:r>
      <w:r w:rsidR="0016724D" w:rsidRPr="004B77D6">
        <w:rPr>
          <w:rFonts w:asciiTheme="minorHAnsi" w:hAnsiTheme="minorHAnsi" w:cstheme="minorHAnsi"/>
          <w:sz w:val="24"/>
          <w:szCs w:val="24"/>
          <w:lang w:val="pl-PL"/>
        </w:rPr>
        <w:t xml:space="preserve"> </w:t>
      </w:r>
      <w:r w:rsidR="000B01EA" w:rsidRPr="004B77D6">
        <w:rPr>
          <w:rFonts w:asciiTheme="minorHAnsi" w:hAnsiTheme="minorHAnsi" w:cstheme="minorHAnsi"/>
          <w:sz w:val="24"/>
          <w:szCs w:val="24"/>
        </w:rPr>
        <w:t>o dofinansowani</w:t>
      </w:r>
      <w:r w:rsidR="0071603D" w:rsidRPr="004B77D6">
        <w:rPr>
          <w:rFonts w:asciiTheme="minorHAnsi" w:hAnsiTheme="minorHAnsi" w:cstheme="minorHAnsi"/>
          <w:sz w:val="24"/>
          <w:szCs w:val="24"/>
          <w:lang w:val="pl-PL"/>
        </w:rPr>
        <w:t>u</w:t>
      </w:r>
      <w:r w:rsidR="000B01EA" w:rsidRPr="004B77D6">
        <w:rPr>
          <w:rFonts w:asciiTheme="minorHAnsi" w:hAnsiTheme="minorHAnsi" w:cstheme="minorHAnsi"/>
          <w:sz w:val="24"/>
          <w:szCs w:val="24"/>
        </w:rPr>
        <w:t xml:space="preserve"> projektu </w:t>
      </w:r>
      <w:r w:rsidRPr="004B77D6">
        <w:rPr>
          <w:rFonts w:asciiTheme="minorHAnsi" w:hAnsiTheme="minorHAnsi" w:cstheme="minorHAnsi"/>
          <w:sz w:val="24"/>
          <w:szCs w:val="24"/>
        </w:rPr>
        <w:t xml:space="preserve">zobowiązany jest do stosownego wyjaśnienia przyczyny niefigurowania </w:t>
      </w:r>
      <w:r w:rsidR="00A721F7" w:rsidRPr="004B77D6">
        <w:rPr>
          <w:rFonts w:asciiTheme="minorHAnsi" w:hAnsiTheme="minorHAnsi" w:cstheme="minorHAnsi"/>
          <w:sz w:val="24"/>
          <w:szCs w:val="24"/>
          <w:lang w:val="pl-PL"/>
        </w:rPr>
        <w:t>W</w:t>
      </w:r>
      <w:proofErr w:type="spellStart"/>
      <w:r w:rsidRPr="004B77D6">
        <w:rPr>
          <w:rFonts w:asciiTheme="minorHAnsi" w:hAnsiTheme="minorHAnsi" w:cstheme="minorHAnsi"/>
          <w:sz w:val="24"/>
          <w:szCs w:val="24"/>
        </w:rPr>
        <w:t>nioskodawcy</w:t>
      </w:r>
      <w:proofErr w:type="spellEnd"/>
      <w:r w:rsidR="00DD4ACF">
        <w:rPr>
          <w:rFonts w:asciiTheme="minorHAnsi" w:hAnsiTheme="minorHAnsi" w:cstheme="minorHAnsi"/>
          <w:sz w:val="24"/>
          <w:szCs w:val="24"/>
        </w:rPr>
        <w:t>/Partnera</w:t>
      </w:r>
      <w:r w:rsidRPr="004B77D6">
        <w:rPr>
          <w:rFonts w:asciiTheme="minorHAnsi" w:hAnsiTheme="minorHAnsi" w:cstheme="minorHAnsi"/>
          <w:sz w:val="24"/>
          <w:szCs w:val="24"/>
        </w:rPr>
        <w:t xml:space="preserve"> w bazie ewidencji za korzystanie ze środowiska poprzez złożenie stosown</w:t>
      </w:r>
      <w:r w:rsidR="00E101D3" w:rsidRPr="004B77D6">
        <w:rPr>
          <w:rFonts w:asciiTheme="minorHAnsi" w:hAnsiTheme="minorHAnsi" w:cstheme="minorHAnsi"/>
          <w:sz w:val="24"/>
          <w:szCs w:val="24"/>
        </w:rPr>
        <w:t xml:space="preserve">ego w tym zakresie oświadczenia, jeśli zostanie to </w:t>
      </w:r>
      <w:r w:rsidR="00F91A40" w:rsidRPr="004B77D6">
        <w:rPr>
          <w:rFonts w:asciiTheme="minorHAnsi" w:hAnsiTheme="minorHAnsi" w:cstheme="minorHAnsi"/>
          <w:sz w:val="24"/>
          <w:szCs w:val="24"/>
        </w:rPr>
        <w:t xml:space="preserve">zidentyfikowane </w:t>
      </w:r>
      <w:r w:rsidR="00E101D3" w:rsidRPr="004B77D6">
        <w:rPr>
          <w:rFonts w:asciiTheme="minorHAnsi" w:hAnsiTheme="minorHAnsi" w:cstheme="minorHAnsi"/>
          <w:sz w:val="24"/>
          <w:szCs w:val="24"/>
        </w:rPr>
        <w:t xml:space="preserve">podczas </w:t>
      </w:r>
      <w:r w:rsidR="00F91A40" w:rsidRPr="004B77D6">
        <w:rPr>
          <w:rFonts w:asciiTheme="minorHAnsi" w:hAnsiTheme="minorHAnsi" w:cstheme="minorHAnsi"/>
          <w:sz w:val="24"/>
          <w:szCs w:val="24"/>
        </w:rPr>
        <w:t>weryfikacji niezalegania z opłatami za niezaleganiu z opłatami za korzystanie ze środowiska.</w:t>
      </w:r>
    </w:p>
    <w:p w14:paraId="5507217F" w14:textId="45B231A0" w:rsidR="003333F0" w:rsidRPr="00CC17EB" w:rsidRDefault="003333F0" w:rsidP="0089006E">
      <w:pPr>
        <w:pStyle w:val="Akapitzlist"/>
        <w:numPr>
          <w:ilvl w:val="0"/>
          <w:numId w:val="20"/>
        </w:numPr>
        <w:spacing w:after="120"/>
        <w:rPr>
          <w:rFonts w:asciiTheme="minorHAnsi" w:hAnsiTheme="minorHAnsi" w:cstheme="minorHAnsi"/>
          <w:sz w:val="24"/>
          <w:szCs w:val="24"/>
        </w:rPr>
      </w:pPr>
      <w:r w:rsidRPr="00CC17EB">
        <w:rPr>
          <w:rFonts w:asciiTheme="minorHAnsi" w:hAnsiTheme="minorHAnsi" w:cstheme="minorHAnsi"/>
          <w:sz w:val="24"/>
          <w:szCs w:val="24"/>
          <w:lang w:val="pl-PL"/>
        </w:rPr>
        <w:t>Wnioskodawcy</w:t>
      </w:r>
      <w:r w:rsidR="00DD4ACF">
        <w:rPr>
          <w:rFonts w:asciiTheme="minorHAnsi" w:hAnsiTheme="minorHAnsi" w:cstheme="minorHAnsi"/>
          <w:sz w:val="24"/>
          <w:szCs w:val="24"/>
          <w:lang w:val="pl-PL"/>
        </w:rPr>
        <w:t>/Partnerzy</w:t>
      </w:r>
      <w:r w:rsidRPr="00CC17EB">
        <w:rPr>
          <w:rFonts w:asciiTheme="minorHAnsi" w:hAnsiTheme="minorHAnsi" w:cstheme="minorHAnsi"/>
          <w:sz w:val="24"/>
          <w:szCs w:val="24"/>
          <w:lang w:val="pl-PL"/>
        </w:rPr>
        <w:t xml:space="preserve"> </w:t>
      </w:r>
      <w:r w:rsidR="00143B1C" w:rsidRPr="00CC17EB">
        <w:rPr>
          <w:rFonts w:asciiTheme="minorHAnsi" w:hAnsiTheme="minorHAnsi" w:cstheme="minorHAnsi"/>
          <w:sz w:val="24"/>
          <w:szCs w:val="24"/>
          <w:lang w:val="pl-PL"/>
        </w:rPr>
        <w:t>nie</w:t>
      </w:r>
      <w:r w:rsidRPr="00CC17EB">
        <w:rPr>
          <w:rFonts w:asciiTheme="minorHAnsi" w:hAnsiTheme="minorHAnsi" w:cstheme="minorHAnsi"/>
          <w:sz w:val="24"/>
          <w:szCs w:val="24"/>
          <w:lang w:val="pl-PL"/>
        </w:rPr>
        <w:t xml:space="preserve">będący JST </w:t>
      </w:r>
      <w:r w:rsidR="00143B1C" w:rsidRPr="00CC17EB">
        <w:rPr>
          <w:rFonts w:asciiTheme="minorHAnsi" w:hAnsiTheme="minorHAnsi" w:cstheme="minorHAnsi"/>
          <w:sz w:val="24"/>
          <w:szCs w:val="24"/>
          <w:lang w:val="pl-PL"/>
        </w:rPr>
        <w:t xml:space="preserve">lub będący jednostkami organizacyjnymi JST </w:t>
      </w:r>
      <w:r w:rsidRPr="00CC17EB">
        <w:rPr>
          <w:rFonts w:asciiTheme="minorHAnsi" w:hAnsiTheme="minorHAnsi" w:cstheme="minorHAnsi"/>
          <w:sz w:val="24"/>
          <w:szCs w:val="24"/>
          <w:lang w:val="pl-PL"/>
        </w:rPr>
        <w:t>zobowiązani są do dostarczenia bilansu jednostki za ostatni rok</w:t>
      </w:r>
      <w:r w:rsidRPr="00CC17EB">
        <w:rPr>
          <w:sz w:val="24"/>
          <w:szCs w:val="24"/>
        </w:rPr>
        <w:t xml:space="preserve">. Jeżeli </w:t>
      </w:r>
      <w:r w:rsidRPr="00CC17EB">
        <w:rPr>
          <w:sz w:val="24"/>
          <w:szCs w:val="24"/>
          <w:lang w:val="pl-PL"/>
        </w:rPr>
        <w:t>wnioskodawca</w:t>
      </w:r>
      <w:r w:rsidRPr="00CC17EB">
        <w:rPr>
          <w:sz w:val="24"/>
          <w:szCs w:val="24"/>
        </w:rPr>
        <w:t xml:space="preserve"> nie posiada jeszcze bilansu za ostatni rok</w:t>
      </w:r>
      <w:r w:rsidRPr="00CC17EB">
        <w:rPr>
          <w:sz w:val="24"/>
          <w:szCs w:val="24"/>
          <w:lang w:val="pl-PL"/>
        </w:rPr>
        <w:t>,</w:t>
      </w:r>
      <w:r w:rsidRPr="00CC17EB">
        <w:rPr>
          <w:sz w:val="24"/>
          <w:szCs w:val="24"/>
        </w:rPr>
        <w:t xml:space="preserve"> powinien dołączyć bilans za rok przedostatni.</w:t>
      </w:r>
    </w:p>
    <w:p w14:paraId="6F232424" w14:textId="23A42B5D" w:rsidR="006F5369" w:rsidRPr="004B77D6" w:rsidRDefault="006F5369" w:rsidP="0089006E">
      <w:pPr>
        <w:pStyle w:val="Akapitzlist"/>
        <w:numPr>
          <w:ilvl w:val="0"/>
          <w:numId w:val="20"/>
        </w:numPr>
        <w:spacing w:after="120"/>
        <w:rPr>
          <w:rFonts w:asciiTheme="minorHAnsi" w:hAnsiTheme="minorHAnsi" w:cstheme="minorHAnsi"/>
          <w:sz w:val="24"/>
          <w:szCs w:val="24"/>
        </w:rPr>
      </w:pPr>
      <w:r w:rsidRPr="004B77D6">
        <w:rPr>
          <w:rFonts w:asciiTheme="minorHAnsi" w:hAnsiTheme="minorHAnsi" w:cstheme="minorHAnsi"/>
          <w:sz w:val="24"/>
          <w:szCs w:val="24"/>
        </w:rPr>
        <w:t xml:space="preserve">Dodatkowo, </w:t>
      </w:r>
      <w:r w:rsidR="00A721F7" w:rsidRPr="004B77D6">
        <w:rPr>
          <w:rFonts w:asciiTheme="minorHAnsi" w:hAnsiTheme="minorHAnsi" w:cstheme="minorHAnsi"/>
          <w:sz w:val="24"/>
          <w:szCs w:val="24"/>
          <w:lang w:val="pl-PL"/>
        </w:rPr>
        <w:t>W</w:t>
      </w:r>
      <w:proofErr w:type="spellStart"/>
      <w:r w:rsidRPr="004B77D6">
        <w:rPr>
          <w:rFonts w:asciiTheme="minorHAnsi" w:hAnsiTheme="minorHAnsi" w:cstheme="minorHAnsi"/>
          <w:sz w:val="24"/>
          <w:szCs w:val="24"/>
        </w:rPr>
        <w:t>nioskodawcy</w:t>
      </w:r>
      <w:proofErr w:type="spellEnd"/>
      <w:r w:rsidR="00DD4ACF">
        <w:rPr>
          <w:rFonts w:asciiTheme="minorHAnsi" w:hAnsiTheme="minorHAnsi" w:cstheme="minorHAnsi"/>
          <w:sz w:val="24"/>
          <w:szCs w:val="24"/>
        </w:rPr>
        <w:t>/Partnerzy</w:t>
      </w:r>
      <w:r w:rsidRPr="004B77D6">
        <w:rPr>
          <w:rFonts w:asciiTheme="minorHAnsi" w:hAnsiTheme="minorHAnsi" w:cstheme="minorHAnsi"/>
          <w:sz w:val="24"/>
          <w:szCs w:val="24"/>
        </w:rPr>
        <w:t xml:space="preserve"> zaliczający się do przedsiębiorców zobowiązani są w przypadku, gdy złożony przez nich projekt zostanie wybrany do dofinansowania do dostarczenia aktualnego zaświadczenia z Urzędu Skarbowego oraz ZUS o niezaleganiu z należnościami </w:t>
      </w:r>
      <w:r w:rsidR="00C44A60" w:rsidRPr="004B77D6">
        <w:rPr>
          <w:rFonts w:asciiTheme="minorHAnsi" w:hAnsiTheme="minorHAnsi" w:cstheme="minorHAnsi"/>
          <w:sz w:val="24"/>
          <w:szCs w:val="24"/>
        </w:rPr>
        <w:t xml:space="preserve">w terminie do </w:t>
      </w:r>
      <w:r w:rsidR="00312A44">
        <w:rPr>
          <w:rFonts w:asciiTheme="minorHAnsi" w:hAnsiTheme="minorHAnsi" w:cstheme="minorHAnsi"/>
          <w:sz w:val="24"/>
          <w:szCs w:val="24"/>
        </w:rPr>
        <w:t>6</w:t>
      </w:r>
      <w:r w:rsidR="00C44A60" w:rsidRPr="004B77D6">
        <w:rPr>
          <w:rFonts w:asciiTheme="minorHAnsi" w:hAnsiTheme="minorHAnsi" w:cstheme="minorHAnsi"/>
          <w:sz w:val="24"/>
          <w:szCs w:val="24"/>
        </w:rPr>
        <w:t>0</w:t>
      </w:r>
      <w:r w:rsidRPr="004B77D6">
        <w:rPr>
          <w:rFonts w:asciiTheme="minorHAnsi" w:hAnsiTheme="minorHAnsi" w:cstheme="minorHAnsi"/>
          <w:sz w:val="24"/>
          <w:szCs w:val="24"/>
        </w:rPr>
        <w:t xml:space="preserve"> dni kalendarzowych licząc od dnia następnego od decyzji ZWO o wyborze projektu do dofinansowania. W uzasadnionych przypadkach na prośbę Wnioskodawcy ZWO może wyrazić zgodę na wydłużenie ww. terminu.</w:t>
      </w:r>
    </w:p>
    <w:p w14:paraId="322E5AB6" w14:textId="7BD3FCB1" w:rsidR="000239A4" w:rsidRPr="009D0CDD" w:rsidRDefault="00A63277" w:rsidP="0071603D">
      <w:pPr>
        <w:spacing w:after="120" w:line="276" w:lineRule="auto"/>
        <w:rPr>
          <w:rFonts w:ascii="Calibri" w:hAnsi="Calibri"/>
          <w:szCs w:val="24"/>
        </w:rPr>
      </w:pPr>
      <w:r w:rsidRPr="004B77D6">
        <w:rPr>
          <w:rFonts w:ascii="Calibri" w:hAnsi="Calibri"/>
          <w:b/>
          <w:szCs w:val="24"/>
        </w:rPr>
        <w:t xml:space="preserve">Ponadto na każdym etapie oceny </w:t>
      </w:r>
      <w:r w:rsidR="00A721F7" w:rsidRPr="004B77D6">
        <w:rPr>
          <w:rFonts w:ascii="Calibri" w:hAnsi="Calibri"/>
          <w:b/>
          <w:szCs w:val="24"/>
        </w:rPr>
        <w:t>W</w:t>
      </w:r>
      <w:r w:rsidRPr="004B77D6">
        <w:rPr>
          <w:rFonts w:ascii="Calibri" w:hAnsi="Calibri"/>
          <w:b/>
          <w:szCs w:val="24"/>
        </w:rPr>
        <w:t>nioskodaw</w:t>
      </w:r>
      <w:r w:rsidR="000B01EA" w:rsidRPr="004B77D6">
        <w:rPr>
          <w:rFonts w:ascii="Calibri" w:hAnsi="Calibri"/>
          <w:b/>
          <w:szCs w:val="24"/>
        </w:rPr>
        <w:t>ca</w:t>
      </w:r>
      <w:r w:rsidR="00DD4ACF">
        <w:rPr>
          <w:rFonts w:ascii="Calibri" w:hAnsi="Calibri"/>
          <w:b/>
          <w:szCs w:val="24"/>
        </w:rPr>
        <w:t>/Partner</w:t>
      </w:r>
      <w:r w:rsidR="000B01EA" w:rsidRPr="004B77D6">
        <w:rPr>
          <w:rFonts w:ascii="Calibri" w:hAnsi="Calibri"/>
          <w:b/>
          <w:szCs w:val="24"/>
        </w:rPr>
        <w:t xml:space="preserve"> m</w:t>
      </w:r>
      <w:r w:rsidR="00FA2E31">
        <w:rPr>
          <w:rFonts w:ascii="Calibri" w:hAnsi="Calibri"/>
          <w:b/>
          <w:szCs w:val="24"/>
        </w:rPr>
        <w:t>oże zostać wezwany przez IZ</w:t>
      </w:r>
      <w:r w:rsidRPr="004B77D6">
        <w:rPr>
          <w:rFonts w:ascii="Calibri" w:hAnsi="Calibri"/>
          <w:b/>
          <w:szCs w:val="24"/>
        </w:rPr>
        <w:t xml:space="preserve"> do uzupełnienia niezbędnych dokumentów w celu przeprowadzania oceny projektów, </w:t>
      </w:r>
      <w:r w:rsidR="00DD4ACF">
        <w:rPr>
          <w:rFonts w:ascii="Calibri" w:hAnsi="Calibri"/>
          <w:b/>
          <w:szCs w:val="24"/>
        </w:rPr>
        <w:br/>
      </w:r>
      <w:r w:rsidRPr="004B77D6">
        <w:rPr>
          <w:rFonts w:ascii="Calibri" w:hAnsi="Calibri"/>
          <w:b/>
          <w:szCs w:val="24"/>
        </w:rPr>
        <w:t>a także dokonania weryfikacji prawidłowości zawartych w nim danych.</w:t>
      </w:r>
    </w:p>
    <w:p w14:paraId="22D4712C" w14:textId="77777777" w:rsidR="000A2D56" w:rsidRPr="00E1495E" w:rsidRDefault="000A2D56" w:rsidP="00B453C0">
      <w:pPr>
        <w:spacing w:after="120" w:line="276" w:lineRule="auto"/>
        <w:jc w:val="both"/>
        <w:rPr>
          <w:rFonts w:ascii="Calibri" w:hAnsi="Calibri"/>
          <w:b/>
          <w:bCs/>
          <w:sz w:val="22"/>
          <w:szCs w:val="22"/>
        </w:rPr>
      </w:pPr>
    </w:p>
    <w:sectPr w:rsidR="000A2D56" w:rsidRPr="00E1495E" w:rsidSect="00061235">
      <w:headerReference w:type="default" r:id="rId23"/>
      <w:footerReference w:type="even" r:id="rId24"/>
      <w:footerReference w:type="default" r:id="rId25"/>
      <w:headerReference w:type="first" r:id="rId26"/>
      <w:pgSz w:w="11906" w:h="16838"/>
      <w:pgMar w:top="1418" w:right="1418" w:bottom="2269" w:left="1418" w:header="425"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FCAB" w14:textId="77777777" w:rsidR="00240DC4" w:rsidRDefault="00240DC4">
      <w:r>
        <w:separator/>
      </w:r>
    </w:p>
  </w:endnote>
  <w:endnote w:type="continuationSeparator" w:id="0">
    <w:p w14:paraId="149E26D7" w14:textId="77777777" w:rsidR="00240DC4" w:rsidRDefault="00240DC4">
      <w:r>
        <w:continuationSeparator/>
      </w:r>
    </w:p>
  </w:endnote>
  <w:endnote w:type="continuationNotice" w:id="1">
    <w:p w14:paraId="72CC8C92" w14:textId="77777777" w:rsidR="00240DC4" w:rsidRDefault="00240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A36E" w14:textId="77777777" w:rsidR="00044260" w:rsidRDefault="00044260" w:rsidP="001B61B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334C769F" w14:textId="77777777" w:rsidR="00044260" w:rsidRDefault="00044260" w:rsidP="001B61B6">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0332" w14:textId="77777777" w:rsidR="00044260" w:rsidRPr="0061182C" w:rsidRDefault="00044260">
    <w:pPr>
      <w:pStyle w:val="Stopka"/>
      <w:jc w:val="center"/>
      <w:rPr>
        <w:rFonts w:ascii="Calibri" w:hAnsi="Calibri"/>
        <w:sz w:val="22"/>
        <w:szCs w:val="22"/>
      </w:rPr>
    </w:pPr>
    <w:r w:rsidRPr="0061182C">
      <w:rPr>
        <w:rFonts w:ascii="Calibri" w:hAnsi="Calibri"/>
        <w:sz w:val="22"/>
        <w:szCs w:val="22"/>
      </w:rPr>
      <w:fldChar w:fldCharType="begin"/>
    </w:r>
    <w:r w:rsidRPr="0061182C">
      <w:rPr>
        <w:rFonts w:ascii="Calibri" w:hAnsi="Calibri"/>
        <w:sz w:val="22"/>
        <w:szCs w:val="22"/>
      </w:rPr>
      <w:instrText>PAGE   \* MERGEFORMAT</w:instrText>
    </w:r>
    <w:r w:rsidRPr="0061182C">
      <w:rPr>
        <w:rFonts w:ascii="Calibri" w:hAnsi="Calibri"/>
        <w:sz w:val="22"/>
        <w:szCs w:val="22"/>
      </w:rPr>
      <w:fldChar w:fldCharType="separate"/>
    </w:r>
    <w:r w:rsidR="00F20DE9">
      <w:rPr>
        <w:rFonts w:ascii="Calibri" w:hAnsi="Calibri"/>
        <w:noProof/>
        <w:sz w:val="22"/>
        <w:szCs w:val="22"/>
      </w:rPr>
      <w:t>63</w:t>
    </w:r>
    <w:r w:rsidRPr="0061182C">
      <w:rPr>
        <w:rFonts w:ascii="Calibri" w:hAnsi="Calibri"/>
        <w:sz w:val="22"/>
        <w:szCs w:val="22"/>
      </w:rPr>
      <w:fldChar w:fldCharType="end"/>
    </w:r>
  </w:p>
  <w:p w14:paraId="7D666795" w14:textId="77777777" w:rsidR="00044260" w:rsidRDefault="00044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2F25" w14:textId="77777777" w:rsidR="00240DC4" w:rsidRDefault="00240DC4">
      <w:r>
        <w:separator/>
      </w:r>
    </w:p>
  </w:footnote>
  <w:footnote w:type="continuationSeparator" w:id="0">
    <w:p w14:paraId="07B785BC" w14:textId="77777777" w:rsidR="00240DC4" w:rsidRDefault="00240DC4">
      <w:r>
        <w:continuationSeparator/>
      </w:r>
    </w:p>
  </w:footnote>
  <w:footnote w:type="continuationNotice" w:id="1">
    <w:p w14:paraId="5303DAFA" w14:textId="77777777" w:rsidR="00240DC4" w:rsidRDefault="00240DC4"/>
  </w:footnote>
  <w:footnote w:id="2">
    <w:p w14:paraId="6B31A716" w14:textId="2C8BB84F" w:rsidR="00044260" w:rsidRPr="00257C1B" w:rsidRDefault="00044260" w:rsidP="00316531">
      <w:pPr>
        <w:pStyle w:val="Tekstprzypisudolnego"/>
      </w:pPr>
      <w:r w:rsidRPr="00257C1B">
        <w:rPr>
          <w:vertAlign w:val="superscript"/>
        </w:rPr>
        <w:t>7</w:t>
      </w:r>
      <w:r w:rsidRPr="00257C1B">
        <w:rPr>
          <w:rStyle w:val="Odwoanieprzypisudolnego"/>
          <w:rFonts w:cs="Arial"/>
          <w:color w:val="FFFFFF"/>
          <w:szCs w:val="16"/>
        </w:rPr>
        <w:footnoteRef/>
      </w:r>
      <w:r w:rsidRPr="00257C1B">
        <w:rPr>
          <w:color w:val="FFFFFF"/>
        </w:rPr>
        <w:t xml:space="preserve"> </w:t>
      </w:r>
      <w:r w:rsidRPr="00257C1B">
        <w:t>Koszty finansowania, np. odsetki od zaciągniętych kredytów nie są uwzględniane w</w:t>
      </w:r>
      <w:r>
        <w:t> </w:t>
      </w:r>
      <w:r w:rsidRPr="00257C1B">
        <w:t>analizie finansowej efektywności inwestycji</w:t>
      </w:r>
      <w:r>
        <w:rPr>
          <w:lang w:val="pl-PL"/>
        </w:rPr>
        <w:t xml:space="preserve">. </w:t>
      </w:r>
      <w:r w:rsidRPr="00257C1B">
        <w:t>Brane są one natomiast pod uwagę w analizie trwałości finansowej projektu oraz przy obliczaniu efektywności kapitału krajowego.</w:t>
      </w:r>
    </w:p>
  </w:footnote>
  <w:footnote w:id="3">
    <w:p w14:paraId="6AE3D985" w14:textId="1990475D" w:rsidR="00044260" w:rsidRPr="00AD1CCA" w:rsidRDefault="00044260" w:rsidP="00316531">
      <w:pPr>
        <w:pStyle w:val="Tekstprzypisudolnego"/>
        <w:rPr>
          <w:sz w:val="16"/>
        </w:rPr>
      </w:pPr>
      <w:r w:rsidRPr="00257C1B">
        <w:rPr>
          <w:vertAlign w:val="superscript"/>
        </w:rPr>
        <w:t>8</w:t>
      </w:r>
      <w:r w:rsidRPr="00257C1B">
        <w:rPr>
          <w:rStyle w:val="Odwoanieprzypisudolnego"/>
          <w:rFonts w:cs="Arial"/>
          <w:color w:val="FFFFFF"/>
          <w:szCs w:val="16"/>
        </w:rPr>
        <w:footnoteRef/>
      </w:r>
      <w:r w:rsidRPr="00257C1B">
        <w:t xml:space="preserve">Jeżeli na rzecz projektu wnoszony jest wkład niepieniężny (w rozumieniu Wytycznych </w:t>
      </w:r>
      <w:r>
        <w:rPr>
          <w:lang w:val="pl-PL"/>
        </w:rPr>
        <w:t>dotyczących</w:t>
      </w:r>
      <w:r w:rsidRPr="00257C1B">
        <w:t xml:space="preserve"> kwalifikowalności wydatków</w:t>
      </w:r>
      <w:r>
        <w:rPr>
          <w:lang w:val="pl-PL"/>
        </w:rPr>
        <w:t xml:space="preserve"> na lata 2021-2027) </w:t>
      </w:r>
      <w:r w:rsidRPr="00257C1B">
        <w:t xml:space="preserve">powinien on również zostać uwzględniony w nakładach inwestycyjnych oraz przy określaniu wartości rezydualnej. </w:t>
      </w:r>
    </w:p>
  </w:footnote>
  <w:footnote w:id="4">
    <w:p w14:paraId="00DEF9B6" w14:textId="77777777" w:rsidR="00044260" w:rsidRPr="00AD1CCA" w:rsidRDefault="00044260" w:rsidP="00316531">
      <w:pPr>
        <w:pStyle w:val="Tekstprzypisudolnego"/>
        <w:rPr>
          <w:sz w:val="16"/>
        </w:rPr>
      </w:pPr>
      <w:r w:rsidRPr="00257C1B">
        <w:rPr>
          <w:vertAlign w:val="superscript"/>
        </w:rPr>
        <w:t>9</w:t>
      </w:r>
      <w:r>
        <w:rPr>
          <w:vertAlign w:val="superscript"/>
        </w:rPr>
        <w:t xml:space="preserve"> </w:t>
      </w:r>
      <w:r w:rsidRPr="00257C1B">
        <w:t>Szerzej patrz: Opłata za dostępność. Interpretacja prawna i finansowa pojęcia wraz z</w:t>
      </w:r>
      <w:r>
        <w:t> </w:t>
      </w:r>
      <w:r w:rsidRPr="00257C1B">
        <w:t>opinią na temat wybranych zagadnień dotyczących podziału ryzyk, wpływu na dług publiczny oraz klasyfikacji opłaty za dostępność w budżetach podmiotów publicznych. Warszawa, marzec 2012. Publikacja dostępna pod adresem: www.ppp.gov.pl</w:t>
      </w:r>
    </w:p>
  </w:footnote>
  <w:footnote w:id="5">
    <w:p w14:paraId="6BD4CEB8" w14:textId="77777777" w:rsidR="00044260" w:rsidRPr="00257C1B" w:rsidRDefault="00044260" w:rsidP="00316531">
      <w:pPr>
        <w:pStyle w:val="Tekstprzypisudolnego"/>
      </w:pPr>
      <w:r w:rsidRPr="00065FA3">
        <w:rPr>
          <w:rFonts w:asciiTheme="minorHAnsi" w:hAnsiTheme="minorHAnsi" w:cstheme="minorHAnsi"/>
          <w:vertAlign w:val="superscript"/>
        </w:rPr>
        <w:footnoteRef/>
      </w:r>
      <w:r w:rsidRPr="00065FA3">
        <w:rPr>
          <w:rFonts w:asciiTheme="minorHAnsi" w:hAnsiTheme="minorHAnsi" w:cstheme="minorHAnsi"/>
          <w:vertAlign w:val="superscript"/>
        </w:rPr>
        <w:t xml:space="preserve"> </w:t>
      </w:r>
      <w:r w:rsidRPr="00257C1B">
        <w:t>Dokument dostępn</w:t>
      </w:r>
      <w:r>
        <w:t>y</w:t>
      </w:r>
      <w:r w:rsidRPr="00257C1B">
        <w:t xml:space="preserve"> </w:t>
      </w:r>
      <w:r>
        <w:t>jest</w:t>
      </w:r>
      <w:r w:rsidRPr="00257C1B">
        <w:t xml:space="preserve"> pod adresem:</w:t>
      </w:r>
    </w:p>
    <w:p w14:paraId="5E0B5078" w14:textId="77777777" w:rsidR="00044260" w:rsidRDefault="00044260" w:rsidP="00316531">
      <w:pPr>
        <w:pStyle w:val="Tekstprzypisudolnego"/>
      </w:pPr>
      <w:hyperlink r:id="rId1" w:history="1">
        <w:r w:rsidRPr="00257C1B">
          <w:rPr>
            <w:rStyle w:val="Hipercze"/>
            <w:rFonts w:cs="Arial"/>
            <w:szCs w:val="24"/>
          </w:rPr>
          <w:t>https://www.funduszeeuropejskie.gov.pl/strony/o-funduszach/dokumenty/wytyczne-ministra-infrastruktury-i-rozwoju-w-zakresie-zagadnien-zwiazanych-z-przygotowaniem-projektow-inwestycyjnych-w-tym-projektow-generujacych-dochod-i-projektow-hybrydowych-na-lata-2014-2020-1/</w:t>
        </w:r>
      </w:hyperlink>
    </w:p>
  </w:footnote>
  <w:footnote w:id="6">
    <w:p w14:paraId="6B171707" w14:textId="77777777" w:rsidR="00044260" w:rsidRDefault="00044260" w:rsidP="00316531">
      <w:pPr>
        <w:pStyle w:val="Tekstprzypisudolnego"/>
      </w:pPr>
      <w:r w:rsidRPr="00257C1B">
        <w:rPr>
          <w:rStyle w:val="Odwoanieprzypisudolnego"/>
          <w:szCs w:val="16"/>
        </w:rPr>
        <w:footnoteRef/>
      </w:r>
      <w:r w:rsidRPr="00257C1B">
        <w:t xml:space="preserve"> Jeśli beneficjent równolegle do projektu UE prowadzi jeszcze inną inwestycję, to w</w:t>
      </w:r>
      <w:r>
        <w:t> </w:t>
      </w:r>
      <w:r w:rsidRPr="00257C1B">
        <w:t>scenariuszu bezinwestycyjnym i inwestycyjnym należy ująć wszystkie przepływy finansowe związane z tą inną inwestycją, w tym nakłady inwestycyjne, koszty operacyjne i przychody. Jeśli na przykład przedsiębiorstwo komunikacji publicznej aktualnie kupuje 20 autobusów, z</w:t>
      </w:r>
      <w:r>
        <w:t> </w:t>
      </w:r>
      <w:r w:rsidRPr="00257C1B">
        <w:t>czego tylko 15 stanowi projekt UE, to w scenariuszu bezinwestycyjnym pokazujemy zakup 5 autobusów, natomiast w scenariuszu inwestycyjnym zakup 20 autobusów, w podziale na projekt UE (15 autobusów) i pozostałe inwestycje (5 autobusów). Scenariusz inwestycyjny będzie w takim ujęciu pokazywał rzeczywistą sytuację przedsiębiorstwa, czyli 20 nowych autobusów w procesie inwestycyjnym, a potem w eksploatacji. Jednocześnie, przepływy różnicowe dotyczyć będą tylko 15 autobusów objętych projektem UE.</w:t>
      </w:r>
    </w:p>
  </w:footnote>
  <w:footnote w:id="7">
    <w:p w14:paraId="23B5C997" w14:textId="392DA311" w:rsidR="00044260" w:rsidRPr="00B34EE2" w:rsidRDefault="00044260" w:rsidP="00316531">
      <w:pPr>
        <w:pStyle w:val="Tekstprzypisudolnego"/>
        <w:rPr>
          <w:lang w:val="pl-PL"/>
        </w:rPr>
      </w:pPr>
      <w:r>
        <w:rPr>
          <w:rStyle w:val="Odwoanieprzypisudolnego"/>
        </w:rPr>
        <w:footnoteRef/>
      </w:r>
      <w:r>
        <w:t xml:space="preserve"> Dokument (w wersji angielskojęzycznej oraz polskojęzycznej [robocze tłumaczenie MFiPR]) dostępny jest w Portalu Funduszy Europejskich (https://www.funduszeeuropejskie.gov.pl/)</w:t>
      </w:r>
      <w:r>
        <w:rPr>
          <w:lang w:val="pl-PL"/>
        </w:rPr>
        <w:t>.</w:t>
      </w:r>
    </w:p>
  </w:footnote>
  <w:footnote w:id="8">
    <w:p w14:paraId="63445AA2" w14:textId="7F7278EC" w:rsidR="00044260" w:rsidRPr="00B34EE2" w:rsidRDefault="00044260" w:rsidP="00316531">
      <w:pPr>
        <w:pStyle w:val="Tekstprzypisudolnego"/>
        <w:rPr>
          <w:lang w:val="pl-PL"/>
        </w:rPr>
      </w:pPr>
      <w:r>
        <w:rPr>
          <w:rStyle w:val="Odwoanieprzypisudolnego"/>
        </w:rPr>
        <w:footnoteRef/>
      </w:r>
      <w:r>
        <w:t xml:space="preserve"> Dla przykładu: 1) Budynek urzędu gminy – po realizacji projektu nadal będzie służył do tych samych celów, a ponadto nie będzie możliwości jego sprzedaży. 2) Budynek biurowy – jest prawdopodobne, że po zakończeniu okresu odniesienia zmieni swoją obecną funkcję, a ponadto może on zostać sprzedany.</w:t>
      </w:r>
    </w:p>
  </w:footnote>
  <w:footnote w:id="9">
    <w:p w14:paraId="5BC8E197" w14:textId="32E0D902" w:rsidR="00044260" w:rsidRPr="00316531" w:rsidRDefault="00044260" w:rsidP="00316531">
      <w:pPr>
        <w:pStyle w:val="Tekstprzypisudolnego"/>
        <w:rPr>
          <w:sz w:val="16"/>
          <w:lang w:val="pl-PL"/>
        </w:rPr>
      </w:pPr>
      <w:r w:rsidRPr="00257C1B">
        <w:rPr>
          <w:rStyle w:val="Odwoanieprzypisudolnego"/>
          <w:szCs w:val="16"/>
        </w:rPr>
        <w:footnoteRef/>
      </w:r>
      <w:r w:rsidRPr="00257C1B">
        <w:t xml:space="preserve"> Patrz: Podrozdział </w:t>
      </w:r>
      <w:r>
        <w:t xml:space="preserve">6.6 </w:t>
      </w:r>
      <w:r w:rsidRPr="00316531">
        <w:rPr>
          <w:i/>
          <w:iCs/>
        </w:rPr>
        <w:t>Wytyczn</w:t>
      </w:r>
      <w:r w:rsidRPr="00316531">
        <w:rPr>
          <w:i/>
          <w:iCs/>
          <w:lang w:val="pl-PL"/>
        </w:rPr>
        <w:t>ych</w:t>
      </w:r>
      <w:r w:rsidRPr="00316531">
        <w:rPr>
          <w:i/>
          <w:iCs/>
        </w:rPr>
        <w:t xml:space="preserve"> dotycząc</w:t>
      </w:r>
      <w:r w:rsidRPr="00316531">
        <w:rPr>
          <w:i/>
          <w:iCs/>
          <w:lang w:val="pl-PL"/>
        </w:rPr>
        <w:t>ych</w:t>
      </w:r>
      <w:r w:rsidRPr="00316531">
        <w:rPr>
          <w:i/>
          <w:iCs/>
        </w:rPr>
        <w:t xml:space="preserve"> zagadnień związanych z przygotowaniem projektów inwestycyjnych, w tym hybrydowych na lata 2021-2027</w:t>
      </w:r>
      <w:r w:rsidRPr="00316531">
        <w:rPr>
          <w:i/>
          <w:iCs/>
          <w:lang w:val="pl-PL"/>
        </w:rPr>
        <w:t>.</w:t>
      </w:r>
    </w:p>
  </w:footnote>
  <w:footnote w:id="10">
    <w:p w14:paraId="448343FC" w14:textId="77777777" w:rsidR="00044260" w:rsidRPr="00AF63AD" w:rsidRDefault="00044260" w:rsidP="00316531">
      <w:pPr>
        <w:pStyle w:val="Tekstprzypisudolnego"/>
        <w:rPr>
          <w:sz w:val="16"/>
        </w:rPr>
      </w:pPr>
      <w:r w:rsidRPr="00257C1B">
        <w:rPr>
          <w:rStyle w:val="Odwoanieprzypisudolnego"/>
          <w:szCs w:val="16"/>
        </w:rPr>
        <w:footnoteRef/>
      </w:r>
      <w:r w:rsidRPr="00257C1B">
        <w:t xml:space="preserve"> Sektorów, których celem jest realizacja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1">
    <w:p w14:paraId="4B4BF4B6" w14:textId="28F5773A" w:rsidR="00044260" w:rsidRPr="00257C1B" w:rsidRDefault="00044260" w:rsidP="00316531">
      <w:pPr>
        <w:pStyle w:val="Tekstprzypisudolnego"/>
      </w:pPr>
      <w:r w:rsidRPr="00257C1B">
        <w:rPr>
          <w:rStyle w:val="Odwoanieprzypisudolnego"/>
          <w:szCs w:val="16"/>
        </w:rPr>
        <w:footnoteRef/>
      </w:r>
      <w:r w:rsidRPr="00257C1B">
        <w:t xml:space="preserve"> Instytucja zarządzająca powinna zobowiązać beneficjenta do przedstawienia we wniosku o dofinansowanie bardziej szczegółowych danych, np. opisania sposobu zdefiniowania kategorii prawdopodobieństwa oraz wskazania, po czyjej stronie znajduje się ryzyko (np. beneficjenta, wykonawców itp.). Ponadto, w przypadku uwzględnienia przez beneficjent w wartości całkowitej projektu rezerwy na nieprzewidziane wydatki, instytucja zarządzająca może zobowiązać beneficjenta do uwzględnienia tej okoliczności w jakościowej analizie ryzyka oraz uzasadnienia takiego podejścia.</w:t>
      </w:r>
    </w:p>
  </w:footnote>
  <w:footnote w:id="12">
    <w:p w14:paraId="3BF7CAC6" w14:textId="77777777" w:rsidR="00044260" w:rsidRPr="00AF63AD" w:rsidRDefault="00044260" w:rsidP="00316531">
      <w:pPr>
        <w:pStyle w:val="Tekstprzypisudolnego"/>
        <w:rPr>
          <w:sz w:val="16"/>
        </w:rPr>
      </w:pPr>
      <w:r w:rsidRPr="00257C1B">
        <w:rPr>
          <w:rStyle w:val="Odwoanieprzypisudolnego"/>
          <w:szCs w:val="16"/>
        </w:rPr>
        <w:footnoteRef/>
      </w:r>
      <w:r w:rsidRPr="00257C1B">
        <w:t xml:space="preserve"> W szczególności można wziąć pod uwagę podejście wskazane w </w:t>
      </w:r>
      <w:r w:rsidRPr="00257C1B">
        <w:rPr>
          <w:i/>
        </w:rPr>
        <w:t>Przewodniku AKK</w:t>
      </w:r>
      <w:r w:rsidRPr="00257C1B">
        <w:t>, wersja polskojęzyczna,</w:t>
      </w:r>
      <w:r w:rsidRPr="00257C1B">
        <w:rPr>
          <w:i/>
        </w:rPr>
        <w:t xml:space="preserve"> </w:t>
      </w:r>
      <w:r w:rsidRPr="00257C1B">
        <w:t>str. 65 i nast</w:t>
      </w:r>
      <w:r w:rsidRPr="00257C1B">
        <w:rPr>
          <w:i/>
        </w:rPr>
        <w:t xml:space="preserve">.  </w:t>
      </w:r>
    </w:p>
  </w:footnote>
  <w:footnote w:id="13">
    <w:p w14:paraId="2C2AF3E9" w14:textId="77777777" w:rsidR="00044260" w:rsidRPr="00AF63AD" w:rsidRDefault="00044260" w:rsidP="00316531">
      <w:pPr>
        <w:pStyle w:val="Tekstprzypisudolnego"/>
        <w:rPr>
          <w:sz w:val="16"/>
        </w:rPr>
      </w:pPr>
      <w:r w:rsidRPr="00257C1B">
        <w:rPr>
          <w:rStyle w:val="Odwoanieprzypisudolnego"/>
          <w:szCs w:val="16"/>
        </w:rPr>
        <w:footnoteRef/>
      </w:r>
      <w:r w:rsidRPr="00257C1B">
        <w:t xml:space="preserve"> Szerzej patrz: Podrozdział 2.9.3. Probabilistyczna ocena ryzyka Przewodnika AKK.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23C1" w14:textId="72E21120" w:rsidR="00866E28" w:rsidRDefault="00044260" w:rsidP="00BB0F09">
    <w:pPr>
      <w:autoSpaceDE w:val="0"/>
      <w:autoSpaceDN w:val="0"/>
      <w:rPr>
        <w:iCs/>
        <w:szCs w:val="24"/>
      </w:rPr>
    </w:pPr>
    <w:r w:rsidRPr="00C2071D">
      <w:rPr>
        <w:rFonts w:asciiTheme="minorHAnsi" w:eastAsia="Arial" w:hAnsiTheme="minorHAnsi" w:cstheme="minorHAnsi"/>
        <w:b/>
      </w:rPr>
      <w:t xml:space="preserve">Załącznik nr 6 </w:t>
    </w:r>
    <w:r w:rsidRPr="00C2071D">
      <w:rPr>
        <w:rFonts w:asciiTheme="minorHAnsi" w:hAnsiTheme="minorHAnsi" w:cstheme="minorHAnsi"/>
        <w:iCs/>
        <w:szCs w:val="24"/>
        <w:lang w:eastAsia="en-US"/>
      </w:rPr>
      <w:t xml:space="preserve">do Regulaminu wyboru projektów </w:t>
    </w:r>
    <w:r w:rsidRPr="00C2071D">
      <w:rPr>
        <w:rFonts w:asciiTheme="minorHAnsi" w:hAnsiTheme="minorHAnsi" w:cstheme="minorHAnsi"/>
        <w:iCs/>
        <w:szCs w:val="24"/>
        <w:lang w:eastAsia="en-US"/>
      </w:rPr>
      <w:br/>
    </w:r>
    <w:r w:rsidR="00854A1A" w:rsidRPr="00854A1A">
      <w:rPr>
        <w:rFonts w:asciiTheme="minorHAnsi" w:hAnsiTheme="minorHAnsi" w:cstheme="minorHAnsi"/>
        <w:iCs/>
        <w:szCs w:val="24"/>
        <w:lang w:eastAsia="en-US"/>
      </w:rPr>
      <w:t xml:space="preserve">Działanie </w:t>
    </w:r>
    <w:bookmarkStart w:id="139" w:name="_Hlk155694420"/>
    <w:r w:rsidR="00866E28" w:rsidRPr="00866E28">
      <w:rPr>
        <w:rFonts w:asciiTheme="minorHAnsi" w:hAnsiTheme="minorHAnsi" w:cstheme="minorHAnsi"/>
        <w:iCs/>
        <w:szCs w:val="24"/>
        <w:lang w:eastAsia="en-US"/>
      </w:rPr>
      <w:t>2.3</w:t>
    </w:r>
    <w:r w:rsidR="00866E28">
      <w:rPr>
        <w:iCs/>
        <w:szCs w:val="24"/>
      </w:rPr>
      <w:t xml:space="preserve"> </w:t>
    </w:r>
    <w:r w:rsidR="00866E28" w:rsidRPr="00866E28">
      <w:rPr>
        <w:rFonts w:asciiTheme="minorHAnsi" w:hAnsiTheme="minorHAnsi" w:cstheme="minorHAnsi"/>
        <w:i/>
        <w:szCs w:val="24"/>
        <w:lang w:eastAsia="en-US"/>
      </w:rPr>
      <w:t>Zapobieganie zagrożeniom związanym</w:t>
    </w:r>
    <w:r w:rsidR="00BB0F09">
      <w:rPr>
        <w:rFonts w:asciiTheme="minorHAnsi" w:hAnsiTheme="minorHAnsi" w:cstheme="minorHAnsi"/>
        <w:i/>
        <w:szCs w:val="24"/>
        <w:lang w:eastAsia="en-US"/>
      </w:rPr>
      <w:t xml:space="preserve"> </w:t>
    </w:r>
    <w:r w:rsidR="00866E28" w:rsidRPr="00866E28">
      <w:rPr>
        <w:rFonts w:asciiTheme="minorHAnsi" w:hAnsiTheme="minorHAnsi" w:cstheme="minorHAnsi"/>
        <w:i/>
        <w:szCs w:val="24"/>
        <w:lang w:eastAsia="en-US"/>
      </w:rPr>
      <w:t xml:space="preserve"> ze zmianą klimatu FEO 2021 – 2027</w:t>
    </w:r>
    <w:r w:rsidR="00866E28" w:rsidRPr="003C01E6">
      <w:rPr>
        <w:iCs/>
        <w:szCs w:val="24"/>
      </w:rPr>
      <w:t xml:space="preserve"> </w:t>
    </w:r>
  </w:p>
  <w:bookmarkEnd w:id="139"/>
  <w:p w14:paraId="38709267" w14:textId="5DBBB644" w:rsidR="00044260" w:rsidRPr="00C2071D" w:rsidRDefault="00854A1A" w:rsidP="00BB0F09">
    <w:pPr>
      <w:autoSpaceDE w:val="0"/>
      <w:autoSpaceDN w:val="0"/>
      <w:rPr>
        <w:rFonts w:asciiTheme="minorHAnsi" w:hAnsiTheme="minorHAnsi" w:cstheme="minorHAnsi"/>
        <w:iCs/>
        <w:szCs w:val="24"/>
        <w:lang w:eastAsia="en-US"/>
      </w:rPr>
    </w:pPr>
    <w:r w:rsidRPr="00854A1A">
      <w:rPr>
        <w:rFonts w:asciiTheme="minorHAnsi" w:hAnsiTheme="minorHAnsi" w:cstheme="minorHAnsi"/>
        <w:iCs/>
        <w:szCs w:val="24"/>
        <w:lang w:eastAsia="en-US"/>
      </w:rPr>
      <w:t>Wersja nr 1,</w:t>
    </w:r>
    <w:r w:rsidRPr="00CF5391">
      <w:rPr>
        <w:rFonts w:asciiTheme="minorHAnsi" w:hAnsiTheme="minorHAnsi" w:cstheme="minorHAnsi"/>
        <w:iCs/>
        <w:color w:val="FF0000"/>
        <w:szCs w:val="24"/>
        <w:lang w:eastAsia="en-US"/>
      </w:rPr>
      <w:t xml:space="preserve"> </w:t>
    </w:r>
    <w:r w:rsidR="00B04115">
      <w:rPr>
        <w:rFonts w:asciiTheme="minorHAnsi" w:hAnsiTheme="minorHAnsi" w:cstheme="minorHAnsi"/>
        <w:iCs/>
        <w:szCs w:val="24"/>
        <w:lang w:eastAsia="en-US"/>
      </w:rPr>
      <w:t>grudzień</w:t>
    </w:r>
    <w:r w:rsidR="00B04115" w:rsidRPr="00196CDC">
      <w:rPr>
        <w:rFonts w:asciiTheme="minorHAnsi" w:hAnsiTheme="minorHAnsi" w:cstheme="minorHAnsi"/>
        <w:iCs/>
        <w:szCs w:val="24"/>
        <w:lang w:eastAsia="en-US"/>
      </w:rPr>
      <w:t xml:space="preserve"> </w:t>
    </w:r>
    <w:r w:rsidR="00CF5391" w:rsidRPr="00CF5391">
      <w:rPr>
        <w:rFonts w:asciiTheme="minorHAnsi" w:hAnsiTheme="minorHAnsi" w:cstheme="minorHAnsi"/>
        <w:iCs/>
        <w:szCs w:val="24"/>
        <w:lang w:eastAsia="en-US"/>
      </w:rPr>
      <w:t>2024 r.</w:t>
    </w:r>
  </w:p>
  <w:p w14:paraId="2792A6FF" w14:textId="15033E0F" w:rsidR="00044260" w:rsidRPr="007E2797" w:rsidRDefault="00044260" w:rsidP="00C2071D">
    <w:pPr>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7E90" w14:textId="77777777" w:rsidR="00044260" w:rsidRPr="00851EE6" w:rsidRDefault="00044260" w:rsidP="00431FF5">
    <w:pPr>
      <w:jc w:val="right"/>
      <w:rPr>
        <w:i/>
        <w:sz w:val="20"/>
        <w:szCs w:val="24"/>
        <w:lang w:eastAsia="en-US"/>
      </w:rPr>
    </w:pPr>
    <w:r w:rsidRPr="00851EE6">
      <w:rPr>
        <w:b/>
        <w:i/>
        <w:sz w:val="20"/>
        <w:szCs w:val="24"/>
        <w:lang w:eastAsia="en-US"/>
      </w:rPr>
      <w:t>Z</w:t>
    </w:r>
    <w:r>
      <w:rPr>
        <w:b/>
        <w:i/>
        <w:sz w:val="20"/>
        <w:szCs w:val="24"/>
        <w:lang w:eastAsia="en-US"/>
      </w:rPr>
      <w:t>ałącznik nr 6</w:t>
    </w:r>
    <w:r w:rsidRPr="00851EE6">
      <w:rPr>
        <w:b/>
        <w:i/>
        <w:sz w:val="20"/>
        <w:szCs w:val="24"/>
        <w:lang w:eastAsia="en-US"/>
      </w:rPr>
      <w:t xml:space="preserve"> </w:t>
    </w:r>
    <w:r w:rsidRPr="00851EE6">
      <w:rPr>
        <w:i/>
        <w:sz w:val="20"/>
        <w:szCs w:val="24"/>
        <w:lang w:eastAsia="en-US"/>
      </w:rPr>
      <w:t xml:space="preserve">do </w:t>
    </w:r>
    <w:r w:rsidRPr="00851EE6">
      <w:rPr>
        <w:i/>
        <w:sz w:val="20"/>
        <w:szCs w:val="24"/>
        <w:u w:val="single"/>
        <w:lang w:eastAsia="en-US"/>
      </w:rPr>
      <w:t>Regulaminu konkursu</w:t>
    </w:r>
  </w:p>
  <w:p w14:paraId="13390A6B" w14:textId="77777777" w:rsidR="00044260" w:rsidRPr="00851EE6" w:rsidRDefault="00044260" w:rsidP="00431FF5">
    <w:pPr>
      <w:jc w:val="right"/>
      <w:rPr>
        <w:i/>
        <w:sz w:val="20"/>
        <w:szCs w:val="24"/>
        <w:lang w:eastAsia="en-US"/>
      </w:rPr>
    </w:pPr>
    <w:r w:rsidRPr="00851EE6">
      <w:rPr>
        <w:i/>
        <w:sz w:val="20"/>
        <w:szCs w:val="24"/>
        <w:lang w:eastAsia="en-US"/>
      </w:rPr>
      <w:t>Działanie 4.2 System wczesnego reagowania i ratownictwa RPO WO 2014-2020</w:t>
    </w:r>
  </w:p>
  <w:p w14:paraId="0E5175E1" w14:textId="77777777" w:rsidR="00044260" w:rsidRPr="001A325D" w:rsidRDefault="00044260" w:rsidP="00431FF5">
    <w:pPr>
      <w:jc w:val="right"/>
    </w:pPr>
    <w:r w:rsidRPr="00851EE6">
      <w:rPr>
        <w:i/>
        <w:sz w:val="20"/>
        <w:lang w:eastAsia="en-US"/>
      </w:rPr>
      <w:t>kwiecień 2016 r.</w:t>
    </w:r>
  </w:p>
  <w:p w14:paraId="6623E565" w14:textId="77777777" w:rsidR="00044260" w:rsidRPr="00431FF5" w:rsidRDefault="00044260" w:rsidP="00431FF5">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1429" w:hanging="360"/>
      </w:pPr>
      <w:rPr>
        <w:rFonts w:ascii="Calibri" w:hAnsi="Calibri"/>
        <w:spacing w:val="-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4" w15:restartNumberingAfterBreak="0">
    <w:nsid w:val="00000007"/>
    <w:multiLevelType w:val="multilevel"/>
    <w:tmpl w:val="00000007"/>
    <w:name w:val="WWNum7"/>
    <w:lvl w:ilvl="0">
      <w:start w:val="1"/>
      <w:numFmt w:val="lowerLetter"/>
      <w:lvlText w:val="%1)"/>
      <w:lvlJc w:val="left"/>
      <w:pPr>
        <w:tabs>
          <w:tab w:val="num" w:pos="0"/>
        </w:tabs>
        <w:ind w:left="720" w:hanging="360"/>
      </w:pPr>
      <w:rPr>
        <w:rFonts w:ascii="Calibri" w:hAnsi="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9E72EDB8"/>
    <w:name w:val="WWNum11"/>
    <w:lvl w:ilvl="0">
      <w:start w:val="1"/>
      <w:numFmt w:val="decimal"/>
      <w:lvlText w:val="%1."/>
      <w:lvlJc w:val="left"/>
      <w:pPr>
        <w:tabs>
          <w:tab w:val="num" w:pos="-76"/>
        </w:tabs>
        <w:ind w:left="644" w:hanging="360"/>
      </w:pPr>
      <w:rPr>
        <w:rFonts w:asciiTheme="minorHAnsi" w:hAnsiTheme="minorHAnsi" w:cstheme="minorHAnsi"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tabs>
          <w:tab w:val="num" w:pos="0"/>
        </w:tabs>
        <w:ind w:left="1965" w:hanging="720"/>
      </w:pPr>
    </w:lvl>
    <w:lvl w:ilvl="2">
      <w:start w:val="2"/>
      <w:numFmt w:val="decimal"/>
      <w:lvlText w:val="%1.%2.%3."/>
      <w:lvlJc w:val="left"/>
      <w:pPr>
        <w:tabs>
          <w:tab w:val="num" w:pos="0"/>
        </w:tabs>
        <w:ind w:left="2850" w:hanging="720"/>
      </w:pPr>
    </w:lvl>
    <w:lvl w:ilvl="3">
      <w:start w:val="1"/>
      <w:numFmt w:val="decimal"/>
      <w:lvlText w:val="%1.%2.%3.%4."/>
      <w:lvlJc w:val="left"/>
      <w:pPr>
        <w:tabs>
          <w:tab w:val="num" w:pos="0"/>
        </w:tabs>
        <w:ind w:left="4095" w:hanging="1080"/>
      </w:pPr>
    </w:lvl>
    <w:lvl w:ilvl="4">
      <w:start w:val="1"/>
      <w:numFmt w:val="decimal"/>
      <w:lvlText w:val="%1.%2.%3.%4.%5."/>
      <w:lvlJc w:val="left"/>
      <w:pPr>
        <w:tabs>
          <w:tab w:val="num" w:pos="0"/>
        </w:tabs>
        <w:ind w:left="4980" w:hanging="1080"/>
      </w:pPr>
    </w:lvl>
    <w:lvl w:ilvl="5">
      <w:start w:val="1"/>
      <w:numFmt w:val="decimal"/>
      <w:lvlText w:val="%1.%2.%3.%4.%5.%6."/>
      <w:lvlJc w:val="left"/>
      <w:pPr>
        <w:tabs>
          <w:tab w:val="num" w:pos="0"/>
        </w:tabs>
        <w:ind w:left="6225" w:hanging="1440"/>
      </w:pPr>
    </w:lvl>
    <w:lvl w:ilvl="6">
      <w:start w:val="1"/>
      <w:numFmt w:val="decimal"/>
      <w:lvlText w:val="%1.%2.%3.%4.%5.%6.%7."/>
      <w:lvlJc w:val="left"/>
      <w:pPr>
        <w:tabs>
          <w:tab w:val="num" w:pos="0"/>
        </w:tabs>
        <w:ind w:left="7110" w:hanging="1440"/>
      </w:pPr>
    </w:lvl>
    <w:lvl w:ilvl="7">
      <w:start w:val="1"/>
      <w:numFmt w:val="decimal"/>
      <w:lvlText w:val="%1.%2.%3.%4.%5.%6.%7.%8."/>
      <w:lvlJc w:val="left"/>
      <w:pPr>
        <w:tabs>
          <w:tab w:val="num" w:pos="0"/>
        </w:tabs>
        <w:ind w:left="8355" w:hanging="1800"/>
      </w:pPr>
    </w:lvl>
    <w:lvl w:ilvl="8">
      <w:start w:val="1"/>
      <w:numFmt w:val="decimal"/>
      <w:lvlText w:val="%1.%2.%3.%4.%5.%6.%7.%8.%9."/>
      <w:lvlJc w:val="left"/>
      <w:pPr>
        <w:tabs>
          <w:tab w:val="num" w:pos="0"/>
        </w:tabs>
        <w:ind w:left="9240" w:hanging="1800"/>
      </w:pPr>
    </w:lvl>
  </w:abstractNum>
  <w:abstractNum w:abstractNumId="9" w15:restartNumberingAfterBreak="0">
    <w:nsid w:val="0000000C"/>
    <w:multiLevelType w:val="multilevel"/>
    <w:tmpl w:val="0000000C"/>
    <w:name w:val="WWNum12"/>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0"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Num1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3" w15:restartNumberingAfterBreak="0">
    <w:nsid w:val="00000010"/>
    <w:multiLevelType w:val="multilevel"/>
    <w:tmpl w:val="00000010"/>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Num17"/>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5"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84014E"/>
    <w:multiLevelType w:val="hybridMultilevel"/>
    <w:tmpl w:val="292E350E"/>
    <w:lvl w:ilvl="0" w:tplc="46D24624">
      <w:start w:val="1"/>
      <w:numFmt w:val="lowerLetter"/>
      <w:lvlText w:val="%1)"/>
      <w:lvlJc w:val="left"/>
      <w:pPr>
        <w:tabs>
          <w:tab w:val="num" w:pos="2007"/>
        </w:tabs>
        <w:ind w:left="2007" w:hanging="360"/>
      </w:pPr>
      <w:rPr>
        <w:rFonts w:hint="default"/>
      </w:rPr>
    </w:lvl>
    <w:lvl w:ilvl="1" w:tplc="30F47630">
      <w:start w:val="1"/>
      <w:numFmt w:val="bullet"/>
      <w:lvlText w:val="-"/>
      <w:lvlJc w:val="left"/>
      <w:pPr>
        <w:tabs>
          <w:tab w:val="num" w:pos="1440"/>
        </w:tabs>
        <w:ind w:left="1440" w:hanging="360"/>
      </w:pPr>
      <w:rPr>
        <w:rFonts w:ascii="Calibri" w:hAnsi="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9800F0"/>
    <w:multiLevelType w:val="hybridMultilevel"/>
    <w:tmpl w:val="35D0F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A277A"/>
    <w:multiLevelType w:val="multilevel"/>
    <w:tmpl w:val="AFCCC284"/>
    <w:lvl w:ilvl="0">
      <w:start w:val="1"/>
      <w:numFmt w:val="decimal"/>
      <w:lvlText w:val="%1."/>
      <w:lvlJc w:val="left"/>
      <w:pPr>
        <w:tabs>
          <w:tab w:val="num" w:pos="360"/>
        </w:tabs>
        <w:ind w:left="360" w:hanging="360"/>
      </w:pPr>
      <w:rPr>
        <w:rFonts w:hint="default"/>
      </w:rPr>
    </w:lvl>
    <w:lvl w:ilvl="1">
      <w:start w:val="1"/>
      <w:numFmt w:val="decimal"/>
      <w:pStyle w:val="PodPodrozdziaW"/>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1070B6C"/>
    <w:multiLevelType w:val="hybridMultilevel"/>
    <w:tmpl w:val="1DA0E374"/>
    <w:lvl w:ilvl="0" w:tplc="73085F0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A53AF7"/>
    <w:multiLevelType w:val="hybridMultilevel"/>
    <w:tmpl w:val="9D7069F4"/>
    <w:lvl w:ilvl="0" w:tplc="4692C7CA">
      <w:start w:val="1"/>
      <w:numFmt w:val="lowerLetter"/>
      <w:lvlText w:val="%1)"/>
      <w:lvlJc w:val="left"/>
      <w:pPr>
        <w:tabs>
          <w:tab w:val="num" w:pos="720"/>
        </w:tabs>
        <w:ind w:left="720" w:hanging="360"/>
      </w:pPr>
      <w:rPr>
        <w:rFonts w:hint="default"/>
        <w:b w:val="0"/>
      </w:rPr>
    </w:lvl>
    <w:lvl w:ilvl="1" w:tplc="09568FAA" w:tentative="1">
      <w:start w:val="1"/>
      <w:numFmt w:val="lowerLetter"/>
      <w:lvlText w:val="%2."/>
      <w:lvlJc w:val="left"/>
      <w:pPr>
        <w:tabs>
          <w:tab w:val="num" w:pos="720"/>
        </w:tabs>
        <w:ind w:left="720" w:hanging="360"/>
      </w:pPr>
    </w:lvl>
    <w:lvl w:ilvl="2" w:tplc="DF2EA7B2" w:tentative="1">
      <w:start w:val="1"/>
      <w:numFmt w:val="lowerRoman"/>
      <w:lvlText w:val="%3."/>
      <w:lvlJc w:val="right"/>
      <w:pPr>
        <w:tabs>
          <w:tab w:val="num" w:pos="1440"/>
        </w:tabs>
        <w:ind w:left="1440" w:hanging="180"/>
      </w:pPr>
    </w:lvl>
    <w:lvl w:ilvl="3" w:tplc="FF0296EE" w:tentative="1">
      <w:start w:val="1"/>
      <w:numFmt w:val="decimal"/>
      <w:lvlText w:val="%4."/>
      <w:lvlJc w:val="left"/>
      <w:pPr>
        <w:tabs>
          <w:tab w:val="num" w:pos="2160"/>
        </w:tabs>
        <w:ind w:left="2160" w:hanging="360"/>
      </w:pPr>
    </w:lvl>
    <w:lvl w:ilvl="4" w:tplc="995CC8CE" w:tentative="1">
      <w:start w:val="1"/>
      <w:numFmt w:val="lowerLetter"/>
      <w:lvlText w:val="%5."/>
      <w:lvlJc w:val="left"/>
      <w:pPr>
        <w:tabs>
          <w:tab w:val="num" w:pos="2880"/>
        </w:tabs>
        <w:ind w:left="2880" w:hanging="360"/>
      </w:pPr>
    </w:lvl>
    <w:lvl w:ilvl="5" w:tplc="110421D2" w:tentative="1">
      <w:start w:val="1"/>
      <w:numFmt w:val="lowerRoman"/>
      <w:lvlText w:val="%6."/>
      <w:lvlJc w:val="right"/>
      <w:pPr>
        <w:tabs>
          <w:tab w:val="num" w:pos="3600"/>
        </w:tabs>
        <w:ind w:left="3600" w:hanging="180"/>
      </w:pPr>
    </w:lvl>
    <w:lvl w:ilvl="6" w:tplc="ED961664" w:tentative="1">
      <w:start w:val="1"/>
      <w:numFmt w:val="decimal"/>
      <w:lvlText w:val="%7."/>
      <w:lvlJc w:val="left"/>
      <w:pPr>
        <w:tabs>
          <w:tab w:val="num" w:pos="4320"/>
        </w:tabs>
        <w:ind w:left="4320" w:hanging="360"/>
      </w:pPr>
    </w:lvl>
    <w:lvl w:ilvl="7" w:tplc="58DA164C" w:tentative="1">
      <w:start w:val="1"/>
      <w:numFmt w:val="lowerLetter"/>
      <w:lvlText w:val="%8."/>
      <w:lvlJc w:val="left"/>
      <w:pPr>
        <w:tabs>
          <w:tab w:val="num" w:pos="5040"/>
        </w:tabs>
        <w:ind w:left="5040" w:hanging="360"/>
      </w:pPr>
    </w:lvl>
    <w:lvl w:ilvl="8" w:tplc="B986EB9E" w:tentative="1">
      <w:start w:val="1"/>
      <w:numFmt w:val="lowerRoman"/>
      <w:lvlText w:val="%9."/>
      <w:lvlJc w:val="right"/>
      <w:pPr>
        <w:tabs>
          <w:tab w:val="num" w:pos="5760"/>
        </w:tabs>
        <w:ind w:left="5760" w:hanging="180"/>
      </w:pPr>
    </w:lvl>
  </w:abstractNum>
  <w:abstractNum w:abstractNumId="23" w15:restartNumberingAfterBreak="0">
    <w:nsid w:val="059B2ADB"/>
    <w:multiLevelType w:val="hybridMultilevel"/>
    <w:tmpl w:val="4E2C47FA"/>
    <w:lvl w:ilvl="0" w:tplc="46D2462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b w:val="0"/>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0706267D"/>
    <w:multiLevelType w:val="hybridMultilevel"/>
    <w:tmpl w:val="7C2ABC06"/>
    <w:lvl w:ilvl="0" w:tplc="04150011">
      <w:start w:val="1"/>
      <w:numFmt w:val="decimal"/>
      <w:lvlText w:val="%1)"/>
      <w:lvlJc w:val="left"/>
      <w:pPr>
        <w:tabs>
          <w:tab w:val="num" w:pos="360"/>
        </w:tabs>
        <w:ind w:left="360" w:hanging="360"/>
      </w:pPr>
      <w:rPr>
        <w:rFonts w:cs="Times New Roman" w:hint="default"/>
      </w:rPr>
    </w:lvl>
    <w:lvl w:ilvl="1" w:tplc="E25EB2B0">
      <w:start w:val="1"/>
      <w:numFmt w:val="lowerLetter"/>
      <w:lvlText w:val="%2)"/>
      <w:lvlJc w:val="left"/>
      <w:pPr>
        <w:tabs>
          <w:tab w:val="num" w:pos="1080"/>
        </w:tabs>
        <w:ind w:left="1080" w:hanging="360"/>
      </w:pPr>
      <w:rPr>
        <w:rFonts w:hint="default"/>
        <w:b w:val="0"/>
        <w:bCs/>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089C74A8"/>
    <w:multiLevelType w:val="hybridMultilevel"/>
    <w:tmpl w:val="443AC0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0F7124C"/>
    <w:multiLevelType w:val="hybridMultilevel"/>
    <w:tmpl w:val="537AF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5A925E8"/>
    <w:multiLevelType w:val="hybridMultilevel"/>
    <w:tmpl w:val="D7903B62"/>
    <w:lvl w:ilvl="0" w:tplc="AB4402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9" w15:restartNumberingAfterBreak="0">
    <w:nsid w:val="160452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9AA47B8"/>
    <w:multiLevelType w:val="hybridMultilevel"/>
    <w:tmpl w:val="42F07902"/>
    <w:lvl w:ilvl="0" w:tplc="0415000F">
      <w:start w:val="1"/>
      <w:numFmt w:val="decimal"/>
      <w:lvlText w:val="%1."/>
      <w:lvlJc w:val="left"/>
      <w:pPr>
        <w:tabs>
          <w:tab w:val="num" w:pos="720"/>
        </w:tabs>
        <w:ind w:left="720" w:hanging="360"/>
      </w:pPr>
      <w:rPr>
        <w:rFonts w:hint="default"/>
        <w:color w:val="auto"/>
      </w:rPr>
    </w:lvl>
    <w:lvl w:ilvl="1" w:tplc="CD6403F0">
      <w:start w:val="1"/>
      <w:numFmt w:val="bullet"/>
      <w:lvlText w:val=""/>
      <w:lvlJc w:val="left"/>
      <w:pPr>
        <w:tabs>
          <w:tab w:val="num" w:pos="1440"/>
        </w:tabs>
        <w:ind w:left="1440" w:hanging="360"/>
      </w:pPr>
      <w:rPr>
        <w:rFonts w:ascii="Wingdings" w:hAnsi="Wingdings" w:hint="default"/>
        <w:color w:val="auto"/>
      </w:rPr>
    </w:lvl>
    <w:lvl w:ilvl="2" w:tplc="0415001B">
      <w:start w:val="5"/>
      <w:numFmt w:val="decimal"/>
      <w:lvlText w:val="%3."/>
      <w:lvlJc w:val="left"/>
      <w:pPr>
        <w:tabs>
          <w:tab w:val="num" w:pos="2340"/>
        </w:tabs>
        <w:ind w:left="2340" w:hanging="360"/>
      </w:pPr>
      <w:rPr>
        <w:rFonts w:hint="default"/>
        <w:color w:val="auto"/>
      </w:rPr>
    </w:lvl>
    <w:lvl w:ilvl="3" w:tplc="0415000F">
      <w:start w:val="1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15:restartNumberingAfterBreak="0">
    <w:nsid w:val="1BF07365"/>
    <w:multiLevelType w:val="hybridMultilevel"/>
    <w:tmpl w:val="8EBE8D26"/>
    <w:lvl w:ilvl="0" w:tplc="23F4C0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C325C17"/>
    <w:multiLevelType w:val="hybridMultilevel"/>
    <w:tmpl w:val="E9CE3BF6"/>
    <w:lvl w:ilvl="0" w:tplc="CF78A90A">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417843"/>
    <w:multiLevelType w:val="hybridMultilevel"/>
    <w:tmpl w:val="BDBC69EC"/>
    <w:lvl w:ilvl="0" w:tplc="C4660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9C0153"/>
    <w:multiLevelType w:val="hybridMultilevel"/>
    <w:tmpl w:val="C096B272"/>
    <w:lvl w:ilvl="0" w:tplc="AB44025E">
      <w:start w:val="1"/>
      <w:numFmt w:val="bullet"/>
      <w:lvlText w:val=""/>
      <w:lvlJc w:val="left"/>
      <w:pPr>
        <w:ind w:left="720" w:hanging="360"/>
      </w:pPr>
      <w:rPr>
        <w:rFonts w:ascii="Symbol" w:hAnsi="Symbol" w:hint="default"/>
      </w:rPr>
    </w:lvl>
    <w:lvl w:ilvl="1" w:tplc="C5EEE94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242918"/>
    <w:multiLevelType w:val="hybridMultilevel"/>
    <w:tmpl w:val="8A02E1D8"/>
    <w:lvl w:ilvl="0" w:tplc="E66A0B9A">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8" w15:restartNumberingAfterBreak="0">
    <w:nsid w:val="24F740CC"/>
    <w:multiLevelType w:val="hybridMultilevel"/>
    <w:tmpl w:val="8CA63802"/>
    <w:lvl w:ilvl="0" w:tplc="0A0E2E80">
      <w:start w:val="1"/>
      <w:numFmt w:val="lowerLetter"/>
      <w:lvlText w:val="%1)"/>
      <w:lvlJc w:val="left"/>
      <w:pPr>
        <w:tabs>
          <w:tab w:val="num" w:pos="720"/>
        </w:tabs>
        <w:ind w:left="720" w:hanging="360"/>
      </w:pPr>
      <w:rPr>
        <w:rFonts w:hint="default"/>
        <w:b w:val="0"/>
      </w:rPr>
    </w:lvl>
    <w:lvl w:ilvl="1" w:tplc="5262DF66">
      <w:start w:val="1"/>
      <w:numFmt w:val="bullet"/>
      <w:lvlText w:val="-"/>
      <w:lvlJc w:val="left"/>
      <w:pPr>
        <w:tabs>
          <w:tab w:val="num" w:pos="720"/>
        </w:tabs>
        <w:ind w:left="720" w:hanging="360"/>
      </w:pPr>
      <w:rPr>
        <w:rFonts w:ascii="Courier New" w:hAnsi="Courier New" w:hint="default"/>
        <w:b w:val="0"/>
      </w:rPr>
    </w:lvl>
    <w:lvl w:ilvl="2" w:tplc="C9C06E3C" w:tentative="1">
      <w:start w:val="1"/>
      <w:numFmt w:val="lowerRoman"/>
      <w:lvlText w:val="%3."/>
      <w:lvlJc w:val="right"/>
      <w:pPr>
        <w:tabs>
          <w:tab w:val="num" w:pos="1440"/>
        </w:tabs>
        <w:ind w:left="1440" w:hanging="180"/>
      </w:pPr>
    </w:lvl>
    <w:lvl w:ilvl="3" w:tplc="6D84CB52" w:tentative="1">
      <w:start w:val="1"/>
      <w:numFmt w:val="decimal"/>
      <w:lvlText w:val="%4."/>
      <w:lvlJc w:val="left"/>
      <w:pPr>
        <w:tabs>
          <w:tab w:val="num" w:pos="2160"/>
        </w:tabs>
        <w:ind w:left="2160" w:hanging="360"/>
      </w:pPr>
    </w:lvl>
    <w:lvl w:ilvl="4" w:tplc="7DFE11EE" w:tentative="1">
      <w:start w:val="1"/>
      <w:numFmt w:val="lowerLetter"/>
      <w:lvlText w:val="%5."/>
      <w:lvlJc w:val="left"/>
      <w:pPr>
        <w:tabs>
          <w:tab w:val="num" w:pos="2880"/>
        </w:tabs>
        <w:ind w:left="2880" w:hanging="360"/>
      </w:pPr>
    </w:lvl>
    <w:lvl w:ilvl="5" w:tplc="1994AB9E" w:tentative="1">
      <w:start w:val="1"/>
      <w:numFmt w:val="lowerRoman"/>
      <w:lvlText w:val="%6."/>
      <w:lvlJc w:val="right"/>
      <w:pPr>
        <w:tabs>
          <w:tab w:val="num" w:pos="3600"/>
        </w:tabs>
        <w:ind w:left="3600" w:hanging="180"/>
      </w:pPr>
    </w:lvl>
    <w:lvl w:ilvl="6" w:tplc="63925064" w:tentative="1">
      <w:start w:val="1"/>
      <w:numFmt w:val="decimal"/>
      <w:lvlText w:val="%7."/>
      <w:lvlJc w:val="left"/>
      <w:pPr>
        <w:tabs>
          <w:tab w:val="num" w:pos="4320"/>
        </w:tabs>
        <w:ind w:left="4320" w:hanging="360"/>
      </w:pPr>
    </w:lvl>
    <w:lvl w:ilvl="7" w:tplc="7C66E0F4" w:tentative="1">
      <w:start w:val="1"/>
      <w:numFmt w:val="lowerLetter"/>
      <w:lvlText w:val="%8."/>
      <w:lvlJc w:val="left"/>
      <w:pPr>
        <w:tabs>
          <w:tab w:val="num" w:pos="5040"/>
        </w:tabs>
        <w:ind w:left="5040" w:hanging="360"/>
      </w:pPr>
    </w:lvl>
    <w:lvl w:ilvl="8" w:tplc="A70CEE5A" w:tentative="1">
      <w:start w:val="1"/>
      <w:numFmt w:val="lowerRoman"/>
      <w:lvlText w:val="%9."/>
      <w:lvlJc w:val="right"/>
      <w:pPr>
        <w:tabs>
          <w:tab w:val="num" w:pos="5760"/>
        </w:tabs>
        <w:ind w:left="5760" w:hanging="180"/>
      </w:pPr>
    </w:lvl>
  </w:abstractNum>
  <w:abstractNum w:abstractNumId="39" w15:restartNumberingAfterBreak="0">
    <w:nsid w:val="27FF0FF8"/>
    <w:multiLevelType w:val="multilevel"/>
    <w:tmpl w:val="AF1419E0"/>
    <w:lvl w:ilvl="0">
      <w:start w:val="7"/>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rFonts w:ascii="Arial" w:eastAsia="Times New Roman" w:hAnsi="Arial" w:cs="Arial" w:hint="default"/>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8410182"/>
    <w:multiLevelType w:val="hybridMultilevel"/>
    <w:tmpl w:val="2FE4B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8F45209"/>
    <w:multiLevelType w:val="hybridMultilevel"/>
    <w:tmpl w:val="79E6D494"/>
    <w:lvl w:ilvl="0" w:tplc="D8FCC4BC">
      <w:start w:val="1"/>
      <w:numFmt w:val="decimal"/>
      <w:pStyle w:val="KM-2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3AD5"/>
    <w:multiLevelType w:val="hybridMultilevel"/>
    <w:tmpl w:val="C0F036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403E6F"/>
    <w:multiLevelType w:val="hybridMultilevel"/>
    <w:tmpl w:val="BBD67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45" w15:restartNumberingAfterBreak="0">
    <w:nsid w:val="329D7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4AC5D5E"/>
    <w:multiLevelType w:val="hybridMultilevel"/>
    <w:tmpl w:val="729EB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0F0247"/>
    <w:multiLevelType w:val="hybridMultilevel"/>
    <w:tmpl w:val="5CCC7572"/>
    <w:lvl w:ilvl="0" w:tplc="04150017">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520"/>
        </w:tabs>
        <w:ind w:left="2520" w:hanging="360"/>
      </w:pPr>
      <w:rPr>
        <w:rFont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7561767"/>
    <w:multiLevelType w:val="hybridMultilevel"/>
    <w:tmpl w:val="0CD8FE18"/>
    <w:lvl w:ilvl="0" w:tplc="26781708">
      <w:start w:val="1"/>
      <w:numFmt w:val="bullet"/>
      <w:lvlText w:val=""/>
      <w:lvlJc w:val="left"/>
      <w:pPr>
        <w:ind w:left="720" w:hanging="360"/>
      </w:pPr>
      <w:rPr>
        <w:rFonts w:ascii="Symbol" w:hAnsi="Symbol"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9286735"/>
    <w:multiLevelType w:val="hybridMultilevel"/>
    <w:tmpl w:val="2B0CC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9CC1311"/>
    <w:multiLevelType w:val="multilevel"/>
    <w:tmpl w:val="B87C1290"/>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A8545F1"/>
    <w:multiLevelType w:val="hybridMultilevel"/>
    <w:tmpl w:val="B178D568"/>
    <w:lvl w:ilvl="0" w:tplc="FFFFFFFF">
      <w:start w:val="1"/>
      <w:numFmt w:val="decimal"/>
      <w:lvlText w:val="%1."/>
      <w:lvlJc w:val="left"/>
      <w:pPr>
        <w:tabs>
          <w:tab w:val="num" w:pos="720"/>
        </w:tabs>
        <w:ind w:left="720" w:hanging="360"/>
      </w:pPr>
      <w:rPr>
        <w:rFonts w:hint="default"/>
      </w:rPr>
    </w:lvl>
    <w:lvl w:ilvl="1" w:tplc="FFFFFFFF">
      <w:numFmt w:val="none"/>
      <w:pStyle w:val="PodPodPodrozdziaW"/>
      <w:lvlText w:val=""/>
      <w:lvlJc w:val="left"/>
      <w:pPr>
        <w:tabs>
          <w:tab w:val="num" w:pos="360"/>
        </w:tabs>
      </w:pPr>
    </w:lvl>
    <w:lvl w:ilvl="2" w:tplc="FFFFFFFF">
      <w:numFmt w:val="none"/>
      <w:pStyle w:val="PodxrozdziaW"/>
      <w:lvlText w:val=""/>
      <w:lvlJc w:val="left"/>
      <w:pPr>
        <w:tabs>
          <w:tab w:val="num" w:pos="360"/>
        </w:tabs>
      </w:pPr>
    </w:lvl>
    <w:lvl w:ilvl="3" w:tplc="FFFFFFFF">
      <w:numFmt w:val="none"/>
      <w:pStyle w:val="PodyrozdziaW"/>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2" w15:restartNumberingAfterBreak="0">
    <w:nsid w:val="3C012C79"/>
    <w:multiLevelType w:val="hybridMultilevel"/>
    <w:tmpl w:val="A5F05288"/>
    <w:lvl w:ilvl="0" w:tplc="F5789E76">
      <w:start w:val="1"/>
      <w:numFmt w:val="lowerLetter"/>
      <w:lvlText w:val="%1)"/>
      <w:lvlJc w:val="left"/>
      <w:pPr>
        <w:tabs>
          <w:tab w:val="num" w:pos="2154"/>
        </w:tabs>
        <w:ind w:left="2154" w:hanging="360"/>
      </w:pPr>
      <w:rPr>
        <w:rFonts w:hint="default"/>
      </w:r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53" w15:restartNumberingAfterBreak="0">
    <w:nsid w:val="3E3E0377"/>
    <w:multiLevelType w:val="hybridMultilevel"/>
    <w:tmpl w:val="45D0BDF8"/>
    <w:lvl w:ilvl="0" w:tplc="424260FE">
      <w:start w:val="1"/>
      <w:numFmt w:val="lowerLetter"/>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433408"/>
    <w:multiLevelType w:val="hybridMultilevel"/>
    <w:tmpl w:val="B2946E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7" w15:restartNumberingAfterBreak="0">
    <w:nsid w:val="455C0B9D"/>
    <w:multiLevelType w:val="hybridMultilevel"/>
    <w:tmpl w:val="FC3E66A2"/>
    <w:lvl w:ilvl="0" w:tplc="2610B316">
      <w:start w:val="3"/>
      <w:numFmt w:val="decimal"/>
      <w:isLgl/>
      <w:lvlText w:val="%1.2."/>
      <w:lvlJc w:val="left"/>
      <w:pPr>
        <w:tabs>
          <w:tab w:val="num" w:pos="1440"/>
        </w:tabs>
        <w:ind w:left="1440" w:hanging="720"/>
      </w:pPr>
      <w:rPr>
        <w:rFonts w:hint="default"/>
        <w:b/>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8" w15:restartNumberingAfterBreak="0">
    <w:nsid w:val="47BA7021"/>
    <w:multiLevelType w:val="hybridMultilevel"/>
    <w:tmpl w:val="E0F0E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90F7795"/>
    <w:multiLevelType w:val="hybridMultilevel"/>
    <w:tmpl w:val="EEE429A6"/>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106C89"/>
    <w:multiLevelType w:val="hybridMultilevel"/>
    <w:tmpl w:val="1902C0DA"/>
    <w:lvl w:ilvl="0" w:tplc="AB44025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2" w15:restartNumberingAfterBreak="0">
    <w:nsid w:val="501C083F"/>
    <w:multiLevelType w:val="hybridMultilevel"/>
    <w:tmpl w:val="C3F8911E"/>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64" w15:restartNumberingAfterBreak="0">
    <w:nsid w:val="530C468C"/>
    <w:multiLevelType w:val="hybridMultilevel"/>
    <w:tmpl w:val="4262241C"/>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AC731C"/>
    <w:multiLevelType w:val="hybridMultilevel"/>
    <w:tmpl w:val="222429EC"/>
    <w:lvl w:ilvl="0" w:tplc="7BFE3488">
      <w:start w:val="3"/>
      <w:numFmt w:val="decimal"/>
      <w:isLgl/>
      <w:lvlText w:val="%1.1."/>
      <w:lvlJc w:val="left"/>
      <w:pPr>
        <w:tabs>
          <w:tab w:val="num" w:pos="720"/>
        </w:tabs>
        <w:ind w:left="720" w:hanging="720"/>
      </w:pPr>
      <w:rPr>
        <w:rFonts w:hint="default"/>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56857B9B"/>
    <w:multiLevelType w:val="hybridMultilevel"/>
    <w:tmpl w:val="47BE9B4E"/>
    <w:lvl w:ilvl="0" w:tplc="04150015">
      <w:start w:val="1"/>
      <w:numFmt w:val="upperLetter"/>
      <w:lvlText w:val="%1."/>
      <w:lvlJc w:val="left"/>
      <w:pPr>
        <w:tabs>
          <w:tab w:val="num" w:pos="720"/>
        </w:tabs>
        <w:ind w:left="720" w:hanging="360"/>
      </w:pPr>
      <w:rPr>
        <w:rFonts w:hint="default"/>
      </w:rPr>
    </w:lvl>
    <w:lvl w:ilvl="1" w:tplc="1076E400"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5A55290D"/>
    <w:multiLevelType w:val="hybridMultilevel"/>
    <w:tmpl w:val="1FA8BD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CF44555"/>
    <w:multiLevelType w:val="hybridMultilevel"/>
    <w:tmpl w:val="C8BEA134"/>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hint="default"/>
        <w:i w:val="0"/>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606C00"/>
    <w:multiLevelType w:val="hybridMultilevel"/>
    <w:tmpl w:val="FEE2E060"/>
    <w:lvl w:ilvl="0" w:tplc="04150005">
      <w:start w:val="1"/>
      <w:numFmt w:val="bullet"/>
      <w:lvlText w:val="-"/>
      <w:lvlJc w:val="left"/>
      <w:pPr>
        <w:tabs>
          <w:tab w:val="num" w:pos="720"/>
        </w:tabs>
        <w:ind w:left="720" w:hanging="360"/>
      </w:pPr>
      <w:rPr>
        <w:rFonts w:ascii="Shruti" w:hAnsi="Shruti" w:hint="default"/>
      </w:rPr>
    </w:lvl>
    <w:lvl w:ilvl="1" w:tplc="270C4B4E"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314F9B"/>
    <w:multiLevelType w:val="hybridMultilevel"/>
    <w:tmpl w:val="54E2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6A0B93"/>
    <w:multiLevelType w:val="hybridMultilevel"/>
    <w:tmpl w:val="F16C78B2"/>
    <w:lvl w:ilvl="0" w:tplc="E4F4E96E">
      <w:start w:val="2"/>
      <w:numFmt w:val="decimal"/>
      <w:lvlText w:val="%1."/>
      <w:lvlJc w:val="left"/>
      <w:pPr>
        <w:tabs>
          <w:tab w:val="num" w:pos="360"/>
        </w:tabs>
        <w:ind w:left="360" w:hanging="360"/>
      </w:pPr>
      <w:rPr>
        <w:rFonts w:hint="default"/>
      </w:rPr>
    </w:lvl>
    <w:lvl w:ilvl="1" w:tplc="04150003">
      <w:numFmt w:val="none"/>
      <w:lvlText w:val=""/>
      <w:lvlJc w:val="left"/>
      <w:pPr>
        <w:tabs>
          <w:tab w:val="num" w:pos="360"/>
        </w:tabs>
      </w:pPr>
    </w:lvl>
    <w:lvl w:ilvl="2" w:tplc="04150005">
      <w:start w:val="2"/>
      <w:numFmt w:val="decimal"/>
      <w:isLgl/>
      <w:lvlText w:val="%3.1."/>
      <w:lvlJc w:val="left"/>
      <w:pPr>
        <w:tabs>
          <w:tab w:val="num" w:pos="720"/>
        </w:tabs>
        <w:ind w:left="720" w:hanging="720"/>
      </w:pPr>
      <w:rPr>
        <w:rFonts w:hint="default"/>
      </w:r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73"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4B53351"/>
    <w:multiLevelType w:val="hybridMultilevel"/>
    <w:tmpl w:val="B8E6C506"/>
    <w:lvl w:ilvl="0" w:tplc="186C4190">
      <w:start w:val="1"/>
      <w:numFmt w:val="lowerRoman"/>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5BD4CDB"/>
    <w:multiLevelType w:val="hybridMultilevel"/>
    <w:tmpl w:val="5AD8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1A3917"/>
    <w:multiLevelType w:val="hybridMultilevel"/>
    <w:tmpl w:val="DBF27466"/>
    <w:lvl w:ilvl="0" w:tplc="186C419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7" w15:restartNumberingAfterBreak="0">
    <w:nsid w:val="6647724E"/>
    <w:multiLevelType w:val="hybridMultilevel"/>
    <w:tmpl w:val="BE3EE9F6"/>
    <w:lvl w:ilvl="0" w:tplc="BC020ACC">
      <w:start w:val="1"/>
      <w:numFmt w:val="decimal"/>
      <w:lvlText w:val="%1)"/>
      <w:lvlJc w:val="left"/>
      <w:pPr>
        <w:ind w:left="900" w:hanging="360"/>
      </w:pPr>
      <w:rPr>
        <w:rFonts w:hint="default"/>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78" w15:restartNumberingAfterBreak="0">
    <w:nsid w:val="66E938B0"/>
    <w:multiLevelType w:val="hybridMultilevel"/>
    <w:tmpl w:val="CCF0ADD6"/>
    <w:lvl w:ilvl="0" w:tplc="3A4AB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BFE420F"/>
    <w:multiLevelType w:val="hybridMultilevel"/>
    <w:tmpl w:val="FBE645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CBD6EB2"/>
    <w:multiLevelType w:val="multilevel"/>
    <w:tmpl w:val="37B22C58"/>
    <w:lvl w:ilvl="0">
      <w:start w:val="1"/>
      <w:numFmt w:val="decimal"/>
      <w:lvlText w:val="%1."/>
      <w:lvlJc w:val="left"/>
      <w:pPr>
        <w:tabs>
          <w:tab w:val="num" w:pos="360"/>
        </w:tabs>
        <w:ind w:left="360" w:hanging="360"/>
      </w:pPr>
      <w:rPr>
        <w:rFonts w:ascii="Calibri" w:hAnsi="Calibri" w:hint="default"/>
        <w:b/>
        <w:sz w:val="24"/>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993"/>
        </w:tabs>
        <w:ind w:left="710"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4"/>
        <w:szCs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1" w15:restartNumberingAfterBreak="0">
    <w:nsid w:val="6DE00CB8"/>
    <w:multiLevelType w:val="hybridMultilevel"/>
    <w:tmpl w:val="1C566476"/>
    <w:lvl w:ilvl="0" w:tplc="48CC2B9E">
      <w:start w:val="1"/>
      <w:numFmt w:val="lowerLetter"/>
      <w:lvlText w:val="%1)"/>
      <w:lvlJc w:val="left"/>
      <w:pPr>
        <w:tabs>
          <w:tab w:val="num" w:pos="720"/>
        </w:tabs>
        <w:ind w:left="720" w:hanging="360"/>
      </w:pPr>
      <w:rPr>
        <w:rFonts w:hint="default"/>
        <w:b w:val="0"/>
      </w:rPr>
    </w:lvl>
    <w:lvl w:ilvl="1" w:tplc="04150003" w:tentative="1">
      <w:start w:val="1"/>
      <w:numFmt w:val="lowerLetter"/>
      <w:lvlText w:val="%2."/>
      <w:lvlJc w:val="left"/>
      <w:pPr>
        <w:tabs>
          <w:tab w:val="num" w:pos="720"/>
        </w:tabs>
        <w:ind w:left="720" w:hanging="360"/>
      </w:pPr>
    </w:lvl>
    <w:lvl w:ilvl="2" w:tplc="04150005" w:tentative="1">
      <w:start w:val="1"/>
      <w:numFmt w:val="lowerRoman"/>
      <w:lvlText w:val="%3."/>
      <w:lvlJc w:val="right"/>
      <w:pPr>
        <w:tabs>
          <w:tab w:val="num" w:pos="1440"/>
        </w:tabs>
        <w:ind w:left="1440" w:hanging="180"/>
      </w:pPr>
    </w:lvl>
    <w:lvl w:ilvl="3" w:tplc="04150001" w:tentative="1">
      <w:start w:val="1"/>
      <w:numFmt w:val="decimal"/>
      <w:lvlText w:val="%4."/>
      <w:lvlJc w:val="left"/>
      <w:pPr>
        <w:tabs>
          <w:tab w:val="num" w:pos="2160"/>
        </w:tabs>
        <w:ind w:left="2160" w:hanging="360"/>
      </w:pPr>
    </w:lvl>
    <w:lvl w:ilvl="4" w:tplc="04150003" w:tentative="1">
      <w:start w:val="1"/>
      <w:numFmt w:val="lowerLetter"/>
      <w:lvlText w:val="%5."/>
      <w:lvlJc w:val="left"/>
      <w:pPr>
        <w:tabs>
          <w:tab w:val="num" w:pos="2880"/>
        </w:tabs>
        <w:ind w:left="2880" w:hanging="360"/>
      </w:pPr>
    </w:lvl>
    <w:lvl w:ilvl="5" w:tplc="04150005" w:tentative="1">
      <w:start w:val="1"/>
      <w:numFmt w:val="lowerRoman"/>
      <w:lvlText w:val="%6."/>
      <w:lvlJc w:val="right"/>
      <w:pPr>
        <w:tabs>
          <w:tab w:val="num" w:pos="3600"/>
        </w:tabs>
        <w:ind w:left="3600" w:hanging="180"/>
      </w:pPr>
    </w:lvl>
    <w:lvl w:ilvl="6" w:tplc="04150001" w:tentative="1">
      <w:start w:val="1"/>
      <w:numFmt w:val="decimal"/>
      <w:lvlText w:val="%7."/>
      <w:lvlJc w:val="left"/>
      <w:pPr>
        <w:tabs>
          <w:tab w:val="num" w:pos="4320"/>
        </w:tabs>
        <w:ind w:left="4320" w:hanging="360"/>
      </w:pPr>
    </w:lvl>
    <w:lvl w:ilvl="7" w:tplc="04150003" w:tentative="1">
      <w:start w:val="1"/>
      <w:numFmt w:val="lowerLetter"/>
      <w:lvlText w:val="%8."/>
      <w:lvlJc w:val="left"/>
      <w:pPr>
        <w:tabs>
          <w:tab w:val="num" w:pos="5040"/>
        </w:tabs>
        <w:ind w:left="5040" w:hanging="360"/>
      </w:pPr>
    </w:lvl>
    <w:lvl w:ilvl="8" w:tplc="04150005" w:tentative="1">
      <w:start w:val="1"/>
      <w:numFmt w:val="lowerRoman"/>
      <w:lvlText w:val="%9."/>
      <w:lvlJc w:val="right"/>
      <w:pPr>
        <w:tabs>
          <w:tab w:val="num" w:pos="5760"/>
        </w:tabs>
        <w:ind w:left="5760" w:hanging="180"/>
      </w:pPr>
    </w:lvl>
  </w:abstractNum>
  <w:abstractNum w:abstractNumId="82" w15:restartNumberingAfterBreak="0">
    <w:nsid w:val="72933879"/>
    <w:multiLevelType w:val="multilevel"/>
    <w:tmpl w:val="312261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6252C9A"/>
    <w:multiLevelType w:val="hybridMultilevel"/>
    <w:tmpl w:val="5D46CC3A"/>
    <w:lvl w:ilvl="0" w:tplc="7FFEB076">
      <w:start w:val="1"/>
      <w:numFmt w:val="bullet"/>
      <w:pStyle w:val="Draftmaintext"/>
      <w:lvlText w:val="-"/>
      <w:lvlJc w:val="left"/>
      <w:pPr>
        <w:ind w:left="928" w:hanging="360"/>
      </w:pPr>
      <w:rPr>
        <w:rFonts w:ascii="Courier New" w:hAnsi="Courier New" w:hint="default"/>
        <w:b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4" w15:restartNumberingAfterBreak="0">
    <w:nsid w:val="7BC451A3"/>
    <w:multiLevelType w:val="multilevel"/>
    <w:tmpl w:val="0415001F"/>
    <w:numStyleLink w:val="111111"/>
  </w:abstractNum>
  <w:abstractNum w:abstractNumId="85"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DD356D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num w:numId="1" w16cid:durableId="1302810330">
    <w:abstractNumId w:val="82"/>
  </w:num>
  <w:num w:numId="2" w16cid:durableId="1558125155">
    <w:abstractNumId w:val="69"/>
  </w:num>
  <w:num w:numId="3" w16cid:durableId="1127165585">
    <w:abstractNumId w:val="30"/>
  </w:num>
  <w:num w:numId="4" w16cid:durableId="1471636039">
    <w:abstractNumId w:val="59"/>
  </w:num>
  <w:num w:numId="5" w16cid:durableId="2061198307">
    <w:abstractNumId w:val="66"/>
  </w:num>
  <w:num w:numId="6" w16cid:durableId="1184981758">
    <w:abstractNumId w:val="72"/>
  </w:num>
  <w:num w:numId="7" w16cid:durableId="128520720">
    <w:abstractNumId w:val="80"/>
  </w:num>
  <w:num w:numId="8" w16cid:durableId="1947230437">
    <w:abstractNumId w:val="63"/>
  </w:num>
  <w:num w:numId="9" w16cid:durableId="1193954514">
    <w:abstractNumId w:val="26"/>
  </w:num>
  <w:num w:numId="10" w16cid:durableId="233129942">
    <w:abstractNumId w:val="85"/>
  </w:num>
  <w:num w:numId="11" w16cid:durableId="274486016">
    <w:abstractNumId w:val="84"/>
    <w:lvlOverride w:ilvl="0">
      <w:lvl w:ilvl="0">
        <w:start w:val="1"/>
        <w:numFmt w:val="decimal"/>
        <w:lvlText w:val="%1."/>
        <w:lvlJc w:val="left"/>
        <w:pPr>
          <w:tabs>
            <w:tab w:val="num" w:pos="360"/>
          </w:tabs>
          <w:ind w:left="360" w:hanging="360"/>
        </w:pPr>
        <w:rPr>
          <w:rFonts w:ascii="Calibri" w:hAnsi="Calibri"/>
          <w:sz w:val="24"/>
        </w:rPr>
      </w:lvl>
    </w:lvlOverride>
  </w:num>
  <w:num w:numId="12" w16cid:durableId="119762273">
    <w:abstractNumId w:val="86"/>
  </w:num>
  <w:num w:numId="13" w16cid:durableId="1365324552">
    <w:abstractNumId w:val="51"/>
  </w:num>
  <w:num w:numId="14" w16cid:durableId="90399294">
    <w:abstractNumId w:val="20"/>
  </w:num>
  <w:num w:numId="15" w16cid:durableId="372459278">
    <w:abstractNumId w:val="56"/>
  </w:num>
  <w:num w:numId="16" w16cid:durableId="2025551274">
    <w:abstractNumId w:val="32"/>
  </w:num>
  <w:num w:numId="17" w16cid:durableId="16972654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3955285">
    <w:abstractNumId w:val="49"/>
  </w:num>
  <w:num w:numId="19" w16cid:durableId="2549429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9195254">
    <w:abstractNumId w:val="48"/>
  </w:num>
  <w:num w:numId="21" w16cid:durableId="890848167">
    <w:abstractNumId w:val="67"/>
  </w:num>
  <w:num w:numId="22" w16cid:durableId="1145045513">
    <w:abstractNumId w:val="70"/>
  </w:num>
  <w:num w:numId="23" w16cid:durableId="1505589902">
    <w:abstractNumId w:val="18"/>
  </w:num>
  <w:num w:numId="24" w16cid:durableId="463547859">
    <w:abstractNumId w:val="22"/>
  </w:num>
  <w:num w:numId="25" w16cid:durableId="821583017">
    <w:abstractNumId w:val="38"/>
  </w:num>
  <w:num w:numId="26" w16cid:durableId="816071266">
    <w:abstractNumId w:val="81"/>
  </w:num>
  <w:num w:numId="27" w16cid:durableId="1632709130">
    <w:abstractNumId w:val="23"/>
  </w:num>
  <w:num w:numId="28" w16cid:durableId="878277120">
    <w:abstractNumId w:val="52"/>
  </w:num>
  <w:num w:numId="29" w16cid:durableId="455369099">
    <w:abstractNumId w:val="37"/>
  </w:num>
  <w:num w:numId="30" w16cid:durableId="897857232">
    <w:abstractNumId w:val="24"/>
  </w:num>
  <w:num w:numId="31" w16cid:durableId="234557722">
    <w:abstractNumId w:val="47"/>
  </w:num>
  <w:num w:numId="32" w16cid:durableId="331299478">
    <w:abstractNumId w:val="43"/>
  </w:num>
  <w:num w:numId="33" w16cid:durableId="862788637">
    <w:abstractNumId w:val="29"/>
  </w:num>
  <w:num w:numId="34" w16cid:durableId="57095789">
    <w:abstractNumId w:val="45"/>
  </w:num>
  <w:num w:numId="35" w16cid:durableId="411701988">
    <w:abstractNumId w:val="50"/>
  </w:num>
  <w:num w:numId="36" w16cid:durableId="1044715996">
    <w:abstractNumId w:val="82"/>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46117">
    <w:abstractNumId w:val="68"/>
  </w:num>
  <w:num w:numId="38" w16cid:durableId="1561406032">
    <w:abstractNumId w:val="62"/>
  </w:num>
  <w:num w:numId="39" w16cid:durableId="215433411">
    <w:abstractNumId w:val="60"/>
  </w:num>
  <w:num w:numId="40" w16cid:durableId="674578945">
    <w:abstractNumId w:val="36"/>
  </w:num>
  <w:num w:numId="41" w16cid:durableId="158621339">
    <w:abstractNumId w:val="71"/>
  </w:num>
  <w:num w:numId="42" w16cid:durableId="923222201">
    <w:abstractNumId w:val="39"/>
  </w:num>
  <w:num w:numId="43" w16cid:durableId="1649362295">
    <w:abstractNumId w:val="74"/>
  </w:num>
  <w:num w:numId="44" w16cid:durableId="55667382">
    <w:abstractNumId w:val="76"/>
  </w:num>
  <w:num w:numId="45" w16cid:durableId="247664220">
    <w:abstractNumId w:val="61"/>
  </w:num>
  <w:num w:numId="46" w16cid:durableId="2077163774">
    <w:abstractNumId w:val="28"/>
  </w:num>
  <w:num w:numId="47" w16cid:durableId="925189663">
    <w:abstractNumId w:val="19"/>
  </w:num>
  <w:num w:numId="48" w16cid:durableId="1442993730">
    <w:abstractNumId w:val="55"/>
  </w:num>
  <w:num w:numId="49" w16cid:durableId="1940987567">
    <w:abstractNumId w:val="53"/>
  </w:num>
  <w:num w:numId="50" w16cid:durableId="647561930">
    <w:abstractNumId w:val="35"/>
  </w:num>
  <w:num w:numId="51" w16cid:durableId="110250630">
    <w:abstractNumId w:val="41"/>
  </w:num>
  <w:num w:numId="52" w16cid:durableId="204800305">
    <w:abstractNumId w:val="78"/>
  </w:num>
  <w:num w:numId="53" w16cid:durableId="786778542">
    <w:abstractNumId w:val="44"/>
  </w:num>
  <w:num w:numId="54" w16cid:durableId="973213031">
    <w:abstractNumId w:val="73"/>
  </w:num>
  <w:num w:numId="55" w16cid:durableId="1248731467">
    <w:abstractNumId w:val="34"/>
  </w:num>
  <w:num w:numId="56" w16cid:durableId="1039740286">
    <w:abstractNumId w:val="21"/>
  </w:num>
  <w:num w:numId="57" w16cid:durableId="2021883786">
    <w:abstractNumId w:val="33"/>
  </w:num>
  <w:num w:numId="58" w16cid:durableId="280184250">
    <w:abstractNumId w:val="58"/>
  </w:num>
  <w:num w:numId="59" w16cid:durableId="776949475">
    <w:abstractNumId w:val="54"/>
  </w:num>
  <w:num w:numId="60" w16cid:durableId="977803309">
    <w:abstractNumId w:val="64"/>
  </w:num>
  <w:num w:numId="61" w16cid:durableId="602491937">
    <w:abstractNumId w:val="46"/>
  </w:num>
  <w:num w:numId="62" w16cid:durableId="484005140">
    <w:abstractNumId w:val="75"/>
  </w:num>
  <w:num w:numId="63" w16cid:durableId="1106778436">
    <w:abstractNumId w:val="79"/>
  </w:num>
  <w:num w:numId="64" w16cid:durableId="1577403194">
    <w:abstractNumId w:val="40"/>
  </w:num>
  <w:num w:numId="65" w16cid:durableId="1489130244">
    <w:abstractNumId w:val="27"/>
  </w:num>
  <w:num w:numId="66" w16cid:durableId="1381979402">
    <w:abstractNumId w:val="42"/>
  </w:num>
  <w:num w:numId="67" w16cid:durableId="1083070143">
    <w:abstractNumId w:val="25"/>
  </w:num>
  <w:num w:numId="68" w16cid:durableId="1246262905">
    <w:abstractNumId w:val="65"/>
  </w:num>
  <w:num w:numId="69" w16cid:durableId="1370954182">
    <w:abstractNumId w:val="57"/>
  </w:num>
  <w:num w:numId="70" w16cid:durableId="1992246275">
    <w:abstractNumId w:val="8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B3B"/>
    <w:rsid w:val="00001249"/>
    <w:rsid w:val="000026F8"/>
    <w:rsid w:val="00002CC4"/>
    <w:rsid w:val="00002DCF"/>
    <w:rsid w:val="000030E8"/>
    <w:rsid w:val="000032A1"/>
    <w:rsid w:val="00003F80"/>
    <w:rsid w:val="000041F0"/>
    <w:rsid w:val="00004AEC"/>
    <w:rsid w:val="00005B0C"/>
    <w:rsid w:val="000071F2"/>
    <w:rsid w:val="000074B8"/>
    <w:rsid w:val="0001008A"/>
    <w:rsid w:val="00010822"/>
    <w:rsid w:val="00010A1F"/>
    <w:rsid w:val="00010B7E"/>
    <w:rsid w:val="000121C2"/>
    <w:rsid w:val="00012419"/>
    <w:rsid w:val="0001417D"/>
    <w:rsid w:val="00015CDD"/>
    <w:rsid w:val="00015F93"/>
    <w:rsid w:val="00016376"/>
    <w:rsid w:val="0001648F"/>
    <w:rsid w:val="00016500"/>
    <w:rsid w:val="000169F3"/>
    <w:rsid w:val="00016BEE"/>
    <w:rsid w:val="00016E3C"/>
    <w:rsid w:val="0001709E"/>
    <w:rsid w:val="00020A99"/>
    <w:rsid w:val="00020ED2"/>
    <w:rsid w:val="000212E7"/>
    <w:rsid w:val="0002180E"/>
    <w:rsid w:val="000220D1"/>
    <w:rsid w:val="000239A4"/>
    <w:rsid w:val="000239FE"/>
    <w:rsid w:val="0002507B"/>
    <w:rsid w:val="00026511"/>
    <w:rsid w:val="000271D1"/>
    <w:rsid w:val="000277D4"/>
    <w:rsid w:val="00030FD4"/>
    <w:rsid w:val="00031D40"/>
    <w:rsid w:val="00033B61"/>
    <w:rsid w:val="000340B7"/>
    <w:rsid w:val="00034F54"/>
    <w:rsid w:val="00035376"/>
    <w:rsid w:val="000353E7"/>
    <w:rsid w:val="00035DB8"/>
    <w:rsid w:val="00036561"/>
    <w:rsid w:val="00043BB1"/>
    <w:rsid w:val="00044260"/>
    <w:rsid w:val="00045BF5"/>
    <w:rsid w:val="00045D96"/>
    <w:rsid w:val="000469AC"/>
    <w:rsid w:val="00046C09"/>
    <w:rsid w:val="00047657"/>
    <w:rsid w:val="00050F55"/>
    <w:rsid w:val="000535A7"/>
    <w:rsid w:val="00053674"/>
    <w:rsid w:val="0005374C"/>
    <w:rsid w:val="0005558A"/>
    <w:rsid w:val="00056112"/>
    <w:rsid w:val="0005674A"/>
    <w:rsid w:val="000574E2"/>
    <w:rsid w:val="00057C19"/>
    <w:rsid w:val="0006098D"/>
    <w:rsid w:val="00061235"/>
    <w:rsid w:val="00062773"/>
    <w:rsid w:val="000639DA"/>
    <w:rsid w:val="00063E1B"/>
    <w:rsid w:val="0006599A"/>
    <w:rsid w:val="00067492"/>
    <w:rsid w:val="00067A1F"/>
    <w:rsid w:val="00070229"/>
    <w:rsid w:val="0007142F"/>
    <w:rsid w:val="000720E8"/>
    <w:rsid w:val="00074F46"/>
    <w:rsid w:val="00074FA2"/>
    <w:rsid w:val="00075069"/>
    <w:rsid w:val="00077D6D"/>
    <w:rsid w:val="00077D99"/>
    <w:rsid w:val="00081E07"/>
    <w:rsid w:val="0008268D"/>
    <w:rsid w:val="000828FC"/>
    <w:rsid w:val="00082FFB"/>
    <w:rsid w:val="0008379E"/>
    <w:rsid w:val="00085C12"/>
    <w:rsid w:val="000865C1"/>
    <w:rsid w:val="000866BD"/>
    <w:rsid w:val="00086C23"/>
    <w:rsid w:val="0008765B"/>
    <w:rsid w:val="00087B46"/>
    <w:rsid w:val="000901A2"/>
    <w:rsid w:val="000924B8"/>
    <w:rsid w:val="00092658"/>
    <w:rsid w:val="00093403"/>
    <w:rsid w:val="0009395E"/>
    <w:rsid w:val="00093A61"/>
    <w:rsid w:val="000951B8"/>
    <w:rsid w:val="0009579B"/>
    <w:rsid w:val="00096C5F"/>
    <w:rsid w:val="000A1487"/>
    <w:rsid w:val="000A204D"/>
    <w:rsid w:val="000A2923"/>
    <w:rsid w:val="000A2A74"/>
    <w:rsid w:val="000A2D56"/>
    <w:rsid w:val="000A2FC0"/>
    <w:rsid w:val="000A38A4"/>
    <w:rsid w:val="000A3B9F"/>
    <w:rsid w:val="000A498C"/>
    <w:rsid w:val="000A7233"/>
    <w:rsid w:val="000A7486"/>
    <w:rsid w:val="000B01EA"/>
    <w:rsid w:val="000B09AA"/>
    <w:rsid w:val="000B165E"/>
    <w:rsid w:val="000B18FB"/>
    <w:rsid w:val="000B3B6F"/>
    <w:rsid w:val="000C2302"/>
    <w:rsid w:val="000C2E44"/>
    <w:rsid w:val="000C31E6"/>
    <w:rsid w:val="000C384D"/>
    <w:rsid w:val="000C3A33"/>
    <w:rsid w:val="000C57F4"/>
    <w:rsid w:val="000C5817"/>
    <w:rsid w:val="000C644E"/>
    <w:rsid w:val="000C6EE9"/>
    <w:rsid w:val="000C6F8C"/>
    <w:rsid w:val="000D006D"/>
    <w:rsid w:val="000D178E"/>
    <w:rsid w:val="000D2BB6"/>
    <w:rsid w:val="000D2DA4"/>
    <w:rsid w:val="000D3438"/>
    <w:rsid w:val="000D481A"/>
    <w:rsid w:val="000D7166"/>
    <w:rsid w:val="000D73FF"/>
    <w:rsid w:val="000D78A0"/>
    <w:rsid w:val="000D7E98"/>
    <w:rsid w:val="000E0B83"/>
    <w:rsid w:val="000E0BD3"/>
    <w:rsid w:val="000E1363"/>
    <w:rsid w:val="000E2AD5"/>
    <w:rsid w:val="000E39CE"/>
    <w:rsid w:val="000E437E"/>
    <w:rsid w:val="000E4948"/>
    <w:rsid w:val="000E54A7"/>
    <w:rsid w:val="000E6AC0"/>
    <w:rsid w:val="000E6C0C"/>
    <w:rsid w:val="000E6D79"/>
    <w:rsid w:val="000F00E0"/>
    <w:rsid w:val="000F028A"/>
    <w:rsid w:val="000F2128"/>
    <w:rsid w:val="000F2153"/>
    <w:rsid w:val="000F286B"/>
    <w:rsid w:val="000F3991"/>
    <w:rsid w:val="000F39C6"/>
    <w:rsid w:val="000F4CAC"/>
    <w:rsid w:val="000F5EC2"/>
    <w:rsid w:val="000F6333"/>
    <w:rsid w:val="00100327"/>
    <w:rsid w:val="00101CFB"/>
    <w:rsid w:val="00103091"/>
    <w:rsid w:val="001034C7"/>
    <w:rsid w:val="00103F57"/>
    <w:rsid w:val="00104AB0"/>
    <w:rsid w:val="00106100"/>
    <w:rsid w:val="001067F2"/>
    <w:rsid w:val="00106D1D"/>
    <w:rsid w:val="00110093"/>
    <w:rsid w:val="00110B05"/>
    <w:rsid w:val="00112355"/>
    <w:rsid w:val="00112EEB"/>
    <w:rsid w:val="00112FE0"/>
    <w:rsid w:val="00113DB8"/>
    <w:rsid w:val="00114007"/>
    <w:rsid w:val="001150C6"/>
    <w:rsid w:val="00115485"/>
    <w:rsid w:val="00115D64"/>
    <w:rsid w:val="0011619E"/>
    <w:rsid w:val="001164DF"/>
    <w:rsid w:val="00120044"/>
    <w:rsid w:val="001200B0"/>
    <w:rsid w:val="00120557"/>
    <w:rsid w:val="0012111B"/>
    <w:rsid w:val="00122605"/>
    <w:rsid w:val="0012355D"/>
    <w:rsid w:val="001259A2"/>
    <w:rsid w:val="00125BEB"/>
    <w:rsid w:val="00125BF5"/>
    <w:rsid w:val="00126DF6"/>
    <w:rsid w:val="0012799E"/>
    <w:rsid w:val="0013036C"/>
    <w:rsid w:val="001305BA"/>
    <w:rsid w:val="001331A2"/>
    <w:rsid w:val="00137EBA"/>
    <w:rsid w:val="00141970"/>
    <w:rsid w:val="0014342B"/>
    <w:rsid w:val="00143B1C"/>
    <w:rsid w:val="001442B8"/>
    <w:rsid w:val="001477EC"/>
    <w:rsid w:val="001500AD"/>
    <w:rsid w:val="00150626"/>
    <w:rsid w:val="00152B0D"/>
    <w:rsid w:val="001558B8"/>
    <w:rsid w:val="00155A05"/>
    <w:rsid w:val="00155BB8"/>
    <w:rsid w:val="00156229"/>
    <w:rsid w:val="00156E5C"/>
    <w:rsid w:val="001574B0"/>
    <w:rsid w:val="001576CC"/>
    <w:rsid w:val="00157C24"/>
    <w:rsid w:val="0016000B"/>
    <w:rsid w:val="00161025"/>
    <w:rsid w:val="001610B2"/>
    <w:rsid w:val="001615A5"/>
    <w:rsid w:val="00161847"/>
    <w:rsid w:val="00161E52"/>
    <w:rsid w:val="00164A2E"/>
    <w:rsid w:val="00165E3E"/>
    <w:rsid w:val="001667AA"/>
    <w:rsid w:val="0016724D"/>
    <w:rsid w:val="0016772B"/>
    <w:rsid w:val="0017115C"/>
    <w:rsid w:val="00172557"/>
    <w:rsid w:val="00172DAE"/>
    <w:rsid w:val="00172FA8"/>
    <w:rsid w:val="001732A2"/>
    <w:rsid w:val="00173656"/>
    <w:rsid w:val="00173CEE"/>
    <w:rsid w:val="0017418C"/>
    <w:rsid w:val="00174F50"/>
    <w:rsid w:val="00175776"/>
    <w:rsid w:val="001774F4"/>
    <w:rsid w:val="001805F8"/>
    <w:rsid w:val="00180C31"/>
    <w:rsid w:val="00180E8B"/>
    <w:rsid w:val="00182100"/>
    <w:rsid w:val="00182843"/>
    <w:rsid w:val="00183DE2"/>
    <w:rsid w:val="00184264"/>
    <w:rsid w:val="001843ED"/>
    <w:rsid w:val="001849F5"/>
    <w:rsid w:val="00184AA2"/>
    <w:rsid w:val="00185325"/>
    <w:rsid w:val="00185F74"/>
    <w:rsid w:val="00186D11"/>
    <w:rsid w:val="0018786C"/>
    <w:rsid w:val="00187F1C"/>
    <w:rsid w:val="001907CB"/>
    <w:rsid w:val="001926C6"/>
    <w:rsid w:val="00192FC1"/>
    <w:rsid w:val="00193229"/>
    <w:rsid w:val="0019343E"/>
    <w:rsid w:val="001939AE"/>
    <w:rsid w:val="00193A09"/>
    <w:rsid w:val="00193E14"/>
    <w:rsid w:val="00196CDC"/>
    <w:rsid w:val="001972D9"/>
    <w:rsid w:val="001976D2"/>
    <w:rsid w:val="001A17A7"/>
    <w:rsid w:val="001A1C23"/>
    <w:rsid w:val="001A1FF8"/>
    <w:rsid w:val="001A277F"/>
    <w:rsid w:val="001A4EF4"/>
    <w:rsid w:val="001A6FE1"/>
    <w:rsid w:val="001B083C"/>
    <w:rsid w:val="001B50C5"/>
    <w:rsid w:val="001B50F5"/>
    <w:rsid w:val="001B5BF5"/>
    <w:rsid w:val="001B61B6"/>
    <w:rsid w:val="001B6450"/>
    <w:rsid w:val="001B701E"/>
    <w:rsid w:val="001C025F"/>
    <w:rsid w:val="001C04C6"/>
    <w:rsid w:val="001C05F3"/>
    <w:rsid w:val="001C0963"/>
    <w:rsid w:val="001C0B48"/>
    <w:rsid w:val="001C0B95"/>
    <w:rsid w:val="001C0D95"/>
    <w:rsid w:val="001C14BF"/>
    <w:rsid w:val="001C1A5E"/>
    <w:rsid w:val="001C202F"/>
    <w:rsid w:val="001C3F0D"/>
    <w:rsid w:val="001C411F"/>
    <w:rsid w:val="001C4930"/>
    <w:rsid w:val="001C4C47"/>
    <w:rsid w:val="001C5334"/>
    <w:rsid w:val="001C5FEE"/>
    <w:rsid w:val="001C60F7"/>
    <w:rsid w:val="001C6E57"/>
    <w:rsid w:val="001C772C"/>
    <w:rsid w:val="001D1DCB"/>
    <w:rsid w:val="001D1F09"/>
    <w:rsid w:val="001D294B"/>
    <w:rsid w:val="001D2D8C"/>
    <w:rsid w:val="001D65E9"/>
    <w:rsid w:val="001D68DA"/>
    <w:rsid w:val="001D6DF1"/>
    <w:rsid w:val="001D7621"/>
    <w:rsid w:val="001D77F8"/>
    <w:rsid w:val="001D799F"/>
    <w:rsid w:val="001E0472"/>
    <w:rsid w:val="001E051F"/>
    <w:rsid w:val="001E0955"/>
    <w:rsid w:val="001E17A0"/>
    <w:rsid w:val="001E2CD9"/>
    <w:rsid w:val="001E388A"/>
    <w:rsid w:val="001E4393"/>
    <w:rsid w:val="001E4C87"/>
    <w:rsid w:val="001E5431"/>
    <w:rsid w:val="001E63A7"/>
    <w:rsid w:val="001E6BB4"/>
    <w:rsid w:val="001E7C8A"/>
    <w:rsid w:val="001E7E5B"/>
    <w:rsid w:val="001F098C"/>
    <w:rsid w:val="001F10D0"/>
    <w:rsid w:val="001F11F2"/>
    <w:rsid w:val="001F166F"/>
    <w:rsid w:val="001F2A46"/>
    <w:rsid w:val="001F317A"/>
    <w:rsid w:val="001F3847"/>
    <w:rsid w:val="001F4D96"/>
    <w:rsid w:val="001F5346"/>
    <w:rsid w:val="001F5D46"/>
    <w:rsid w:val="001F5DBC"/>
    <w:rsid w:val="0020027D"/>
    <w:rsid w:val="002005B4"/>
    <w:rsid w:val="00200779"/>
    <w:rsid w:val="00200F87"/>
    <w:rsid w:val="00202098"/>
    <w:rsid w:val="0020365C"/>
    <w:rsid w:val="00203AF0"/>
    <w:rsid w:val="00203C4D"/>
    <w:rsid w:val="002041E9"/>
    <w:rsid w:val="002044C7"/>
    <w:rsid w:val="0020578B"/>
    <w:rsid w:val="00205AD7"/>
    <w:rsid w:val="00205CEC"/>
    <w:rsid w:val="002079AF"/>
    <w:rsid w:val="00207B11"/>
    <w:rsid w:val="00211929"/>
    <w:rsid w:val="002126D0"/>
    <w:rsid w:val="0021312B"/>
    <w:rsid w:val="002133EC"/>
    <w:rsid w:val="00214679"/>
    <w:rsid w:val="00215050"/>
    <w:rsid w:val="00215161"/>
    <w:rsid w:val="002152BF"/>
    <w:rsid w:val="00217EB6"/>
    <w:rsid w:val="00221814"/>
    <w:rsid w:val="00221A22"/>
    <w:rsid w:val="00222007"/>
    <w:rsid w:val="0022234E"/>
    <w:rsid w:val="0022277C"/>
    <w:rsid w:val="00222FC9"/>
    <w:rsid w:val="00223272"/>
    <w:rsid w:val="00223973"/>
    <w:rsid w:val="00224288"/>
    <w:rsid w:val="002258D0"/>
    <w:rsid w:val="00225AD4"/>
    <w:rsid w:val="00227356"/>
    <w:rsid w:val="002275E3"/>
    <w:rsid w:val="0023063C"/>
    <w:rsid w:val="002306F6"/>
    <w:rsid w:val="00230EB8"/>
    <w:rsid w:val="0023137B"/>
    <w:rsid w:val="00234AE1"/>
    <w:rsid w:val="00235CCA"/>
    <w:rsid w:val="00235F38"/>
    <w:rsid w:val="00236C48"/>
    <w:rsid w:val="00236FE6"/>
    <w:rsid w:val="002378F4"/>
    <w:rsid w:val="00240524"/>
    <w:rsid w:val="002409C9"/>
    <w:rsid w:val="00240DC4"/>
    <w:rsid w:val="00240F81"/>
    <w:rsid w:val="00241250"/>
    <w:rsid w:val="002417E4"/>
    <w:rsid w:val="00242198"/>
    <w:rsid w:val="0024256B"/>
    <w:rsid w:val="002438B6"/>
    <w:rsid w:val="00243B0A"/>
    <w:rsid w:val="00243D21"/>
    <w:rsid w:val="002450D7"/>
    <w:rsid w:val="0024694B"/>
    <w:rsid w:val="002469A2"/>
    <w:rsid w:val="00247AC4"/>
    <w:rsid w:val="00251413"/>
    <w:rsid w:val="00251D83"/>
    <w:rsid w:val="00252BC9"/>
    <w:rsid w:val="0025383D"/>
    <w:rsid w:val="00255DF0"/>
    <w:rsid w:val="0025720C"/>
    <w:rsid w:val="00257AF6"/>
    <w:rsid w:val="0026227F"/>
    <w:rsid w:val="00264841"/>
    <w:rsid w:val="0026540E"/>
    <w:rsid w:val="002668CE"/>
    <w:rsid w:val="00266B66"/>
    <w:rsid w:val="002672D5"/>
    <w:rsid w:val="0026780D"/>
    <w:rsid w:val="002704F3"/>
    <w:rsid w:val="002707A1"/>
    <w:rsid w:val="00270F77"/>
    <w:rsid w:val="00271969"/>
    <w:rsid w:val="002726E1"/>
    <w:rsid w:val="00273202"/>
    <w:rsid w:val="00273592"/>
    <w:rsid w:val="0027366C"/>
    <w:rsid w:val="002736CF"/>
    <w:rsid w:val="002743D4"/>
    <w:rsid w:val="00277813"/>
    <w:rsid w:val="00277E20"/>
    <w:rsid w:val="00280453"/>
    <w:rsid w:val="0028168B"/>
    <w:rsid w:val="00282D45"/>
    <w:rsid w:val="00284556"/>
    <w:rsid w:val="00284B9A"/>
    <w:rsid w:val="00285247"/>
    <w:rsid w:val="00285DB8"/>
    <w:rsid w:val="002860C6"/>
    <w:rsid w:val="002874A5"/>
    <w:rsid w:val="0028753E"/>
    <w:rsid w:val="002879BD"/>
    <w:rsid w:val="00287EC2"/>
    <w:rsid w:val="002901F4"/>
    <w:rsid w:val="002915F8"/>
    <w:rsid w:val="00291B5F"/>
    <w:rsid w:val="0029293A"/>
    <w:rsid w:val="00292E10"/>
    <w:rsid w:val="002936E7"/>
    <w:rsid w:val="00293D54"/>
    <w:rsid w:val="0029408B"/>
    <w:rsid w:val="00294780"/>
    <w:rsid w:val="00296EB2"/>
    <w:rsid w:val="002975CE"/>
    <w:rsid w:val="002A0219"/>
    <w:rsid w:val="002A096D"/>
    <w:rsid w:val="002A0BAD"/>
    <w:rsid w:val="002A26BD"/>
    <w:rsid w:val="002A3184"/>
    <w:rsid w:val="002A3276"/>
    <w:rsid w:val="002A348F"/>
    <w:rsid w:val="002A36EA"/>
    <w:rsid w:val="002A542F"/>
    <w:rsid w:val="002A55FD"/>
    <w:rsid w:val="002A61D7"/>
    <w:rsid w:val="002A6F9C"/>
    <w:rsid w:val="002A7545"/>
    <w:rsid w:val="002B000F"/>
    <w:rsid w:val="002B039A"/>
    <w:rsid w:val="002B0894"/>
    <w:rsid w:val="002B134B"/>
    <w:rsid w:val="002B2CB9"/>
    <w:rsid w:val="002B34DB"/>
    <w:rsid w:val="002B3F47"/>
    <w:rsid w:val="002B4412"/>
    <w:rsid w:val="002B6649"/>
    <w:rsid w:val="002B6DBE"/>
    <w:rsid w:val="002B6F6D"/>
    <w:rsid w:val="002B74FA"/>
    <w:rsid w:val="002C0019"/>
    <w:rsid w:val="002C065E"/>
    <w:rsid w:val="002C0751"/>
    <w:rsid w:val="002C0B1E"/>
    <w:rsid w:val="002C4534"/>
    <w:rsid w:val="002C4D07"/>
    <w:rsid w:val="002C63DD"/>
    <w:rsid w:val="002C6DBE"/>
    <w:rsid w:val="002C6E3C"/>
    <w:rsid w:val="002C746B"/>
    <w:rsid w:val="002C7493"/>
    <w:rsid w:val="002D0065"/>
    <w:rsid w:val="002D09AA"/>
    <w:rsid w:val="002D0C10"/>
    <w:rsid w:val="002D13F1"/>
    <w:rsid w:val="002D147D"/>
    <w:rsid w:val="002D1F7F"/>
    <w:rsid w:val="002D24CE"/>
    <w:rsid w:val="002D2888"/>
    <w:rsid w:val="002D3FB2"/>
    <w:rsid w:val="002D5B77"/>
    <w:rsid w:val="002E03D3"/>
    <w:rsid w:val="002E0E25"/>
    <w:rsid w:val="002E207A"/>
    <w:rsid w:val="002E3401"/>
    <w:rsid w:val="002E3605"/>
    <w:rsid w:val="002E3787"/>
    <w:rsid w:val="002E4CA3"/>
    <w:rsid w:val="002E5F74"/>
    <w:rsid w:val="002E672F"/>
    <w:rsid w:val="002E6961"/>
    <w:rsid w:val="002E7E6D"/>
    <w:rsid w:val="002F1C2D"/>
    <w:rsid w:val="002F1C75"/>
    <w:rsid w:val="002F212B"/>
    <w:rsid w:val="002F2670"/>
    <w:rsid w:val="002F2CD5"/>
    <w:rsid w:val="002F2F88"/>
    <w:rsid w:val="002F3CEB"/>
    <w:rsid w:val="002F4187"/>
    <w:rsid w:val="002F547D"/>
    <w:rsid w:val="002F5613"/>
    <w:rsid w:val="002F6306"/>
    <w:rsid w:val="002F6344"/>
    <w:rsid w:val="002F6CB0"/>
    <w:rsid w:val="00300B97"/>
    <w:rsid w:val="003014C7"/>
    <w:rsid w:val="00303CFF"/>
    <w:rsid w:val="00304C66"/>
    <w:rsid w:val="0030579B"/>
    <w:rsid w:val="00306D0A"/>
    <w:rsid w:val="00307004"/>
    <w:rsid w:val="00310099"/>
    <w:rsid w:val="00311EE2"/>
    <w:rsid w:val="00312A44"/>
    <w:rsid w:val="00312F6F"/>
    <w:rsid w:val="00313E23"/>
    <w:rsid w:val="003151EB"/>
    <w:rsid w:val="00315D18"/>
    <w:rsid w:val="00316531"/>
    <w:rsid w:val="00316ED8"/>
    <w:rsid w:val="003176DD"/>
    <w:rsid w:val="00320507"/>
    <w:rsid w:val="00320F0D"/>
    <w:rsid w:val="00322636"/>
    <w:rsid w:val="00322BC6"/>
    <w:rsid w:val="00322CDB"/>
    <w:rsid w:val="00323092"/>
    <w:rsid w:val="00323CC0"/>
    <w:rsid w:val="00324211"/>
    <w:rsid w:val="00327B48"/>
    <w:rsid w:val="00330C5C"/>
    <w:rsid w:val="00331419"/>
    <w:rsid w:val="00331BFF"/>
    <w:rsid w:val="00331D5A"/>
    <w:rsid w:val="00331F3A"/>
    <w:rsid w:val="00332B8C"/>
    <w:rsid w:val="00332BBE"/>
    <w:rsid w:val="003333F0"/>
    <w:rsid w:val="00333A77"/>
    <w:rsid w:val="0033599D"/>
    <w:rsid w:val="003366BF"/>
    <w:rsid w:val="0033705B"/>
    <w:rsid w:val="0034346F"/>
    <w:rsid w:val="00343787"/>
    <w:rsid w:val="00343C2C"/>
    <w:rsid w:val="003450F6"/>
    <w:rsid w:val="003455A4"/>
    <w:rsid w:val="00351723"/>
    <w:rsid w:val="0035187B"/>
    <w:rsid w:val="0035192D"/>
    <w:rsid w:val="00352C23"/>
    <w:rsid w:val="00354475"/>
    <w:rsid w:val="0035449C"/>
    <w:rsid w:val="00355236"/>
    <w:rsid w:val="00355421"/>
    <w:rsid w:val="003562E6"/>
    <w:rsid w:val="0035631E"/>
    <w:rsid w:val="00357405"/>
    <w:rsid w:val="00360296"/>
    <w:rsid w:val="00360471"/>
    <w:rsid w:val="00360B5A"/>
    <w:rsid w:val="0036181E"/>
    <w:rsid w:val="00361CC4"/>
    <w:rsid w:val="00361ED8"/>
    <w:rsid w:val="003665D2"/>
    <w:rsid w:val="00366F5A"/>
    <w:rsid w:val="0036752D"/>
    <w:rsid w:val="00367C77"/>
    <w:rsid w:val="00370EEE"/>
    <w:rsid w:val="00370F09"/>
    <w:rsid w:val="00371256"/>
    <w:rsid w:val="0037230C"/>
    <w:rsid w:val="0037430F"/>
    <w:rsid w:val="003743E5"/>
    <w:rsid w:val="00374D1E"/>
    <w:rsid w:val="00374D91"/>
    <w:rsid w:val="00376EDC"/>
    <w:rsid w:val="003779FA"/>
    <w:rsid w:val="00377D07"/>
    <w:rsid w:val="00377D65"/>
    <w:rsid w:val="00377E51"/>
    <w:rsid w:val="00380213"/>
    <w:rsid w:val="003803BF"/>
    <w:rsid w:val="00380E91"/>
    <w:rsid w:val="003831D9"/>
    <w:rsid w:val="0038388E"/>
    <w:rsid w:val="00383D81"/>
    <w:rsid w:val="00385424"/>
    <w:rsid w:val="003855E6"/>
    <w:rsid w:val="00385C25"/>
    <w:rsid w:val="00385C4F"/>
    <w:rsid w:val="0038604C"/>
    <w:rsid w:val="00386270"/>
    <w:rsid w:val="0038696F"/>
    <w:rsid w:val="003869D9"/>
    <w:rsid w:val="00387457"/>
    <w:rsid w:val="0039070B"/>
    <w:rsid w:val="00392B8F"/>
    <w:rsid w:val="00392BAE"/>
    <w:rsid w:val="00394C8D"/>
    <w:rsid w:val="003958B7"/>
    <w:rsid w:val="00395D48"/>
    <w:rsid w:val="0039660C"/>
    <w:rsid w:val="003966A2"/>
    <w:rsid w:val="0039757F"/>
    <w:rsid w:val="0039759A"/>
    <w:rsid w:val="00397B0F"/>
    <w:rsid w:val="003A0DBB"/>
    <w:rsid w:val="003A396E"/>
    <w:rsid w:val="003A430A"/>
    <w:rsid w:val="003A514F"/>
    <w:rsid w:val="003A5F9D"/>
    <w:rsid w:val="003A7C9C"/>
    <w:rsid w:val="003B0D20"/>
    <w:rsid w:val="003B15DE"/>
    <w:rsid w:val="003B1AF9"/>
    <w:rsid w:val="003B2A2C"/>
    <w:rsid w:val="003B3659"/>
    <w:rsid w:val="003B4109"/>
    <w:rsid w:val="003B4193"/>
    <w:rsid w:val="003B4968"/>
    <w:rsid w:val="003B4D26"/>
    <w:rsid w:val="003B54F9"/>
    <w:rsid w:val="003B7682"/>
    <w:rsid w:val="003B7C97"/>
    <w:rsid w:val="003C1417"/>
    <w:rsid w:val="003C2E80"/>
    <w:rsid w:val="003C38ED"/>
    <w:rsid w:val="003C4D78"/>
    <w:rsid w:val="003C5B15"/>
    <w:rsid w:val="003C6EC9"/>
    <w:rsid w:val="003D2270"/>
    <w:rsid w:val="003D4D2A"/>
    <w:rsid w:val="003D521A"/>
    <w:rsid w:val="003D6B96"/>
    <w:rsid w:val="003D77C2"/>
    <w:rsid w:val="003E05AB"/>
    <w:rsid w:val="003E0768"/>
    <w:rsid w:val="003E1AC3"/>
    <w:rsid w:val="003E1CD7"/>
    <w:rsid w:val="003E2952"/>
    <w:rsid w:val="003E2D0F"/>
    <w:rsid w:val="003E2ECB"/>
    <w:rsid w:val="003E3759"/>
    <w:rsid w:val="003E387D"/>
    <w:rsid w:val="003E6EBF"/>
    <w:rsid w:val="003F086E"/>
    <w:rsid w:val="003F105B"/>
    <w:rsid w:val="003F1229"/>
    <w:rsid w:val="003F1AB1"/>
    <w:rsid w:val="003F4EBF"/>
    <w:rsid w:val="003F56F6"/>
    <w:rsid w:val="003F5EA0"/>
    <w:rsid w:val="003F7035"/>
    <w:rsid w:val="003F7655"/>
    <w:rsid w:val="003F7B38"/>
    <w:rsid w:val="003F7E4F"/>
    <w:rsid w:val="00400DEF"/>
    <w:rsid w:val="00401493"/>
    <w:rsid w:val="00401A24"/>
    <w:rsid w:val="00401BBC"/>
    <w:rsid w:val="00401C3F"/>
    <w:rsid w:val="004024FA"/>
    <w:rsid w:val="00402E6E"/>
    <w:rsid w:val="004033EA"/>
    <w:rsid w:val="004035CF"/>
    <w:rsid w:val="00405C00"/>
    <w:rsid w:val="00405F7C"/>
    <w:rsid w:val="004064A2"/>
    <w:rsid w:val="004066E4"/>
    <w:rsid w:val="00407552"/>
    <w:rsid w:val="004102B4"/>
    <w:rsid w:val="004102C9"/>
    <w:rsid w:val="00410842"/>
    <w:rsid w:val="00410DA1"/>
    <w:rsid w:val="00412289"/>
    <w:rsid w:val="00412EA2"/>
    <w:rsid w:val="004178CB"/>
    <w:rsid w:val="00417FA6"/>
    <w:rsid w:val="00420332"/>
    <w:rsid w:val="00420EC5"/>
    <w:rsid w:val="00422D6C"/>
    <w:rsid w:val="00422E29"/>
    <w:rsid w:val="004233CC"/>
    <w:rsid w:val="004236EA"/>
    <w:rsid w:val="00424504"/>
    <w:rsid w:val="004253A2"/>
    <w:rsid w:val="0042542D"/>
    <w:rsid w:val="004255E6"/>
    <w:rsid w:val="0042601C"/>
    <w:rsid w:val="00426B8C"/>
    <w:rsid w:val="00427D40"/>
    <w:rsid w:val="0043023C"/>
    <w:rsid w:val="004306A7"/>
    <w:rsid w:val="00430A06"/>
    <w:rsid w:val="00431175"/>
    <w:rsid w:val="00431CA9"/>
    <w:rsid w:val="00431E09"/>
    <w:rsid w:val="00431FF5"/>
    <w:rsid w:val="004338AE"/>
    <w:rsid w:val="00435231"/>
    <w:rsid w:val="0043559F"/>
    <w:rsid w:val="004368BF"/>
    <w:rsid w:val="004412B6"/>
    <w:rsid w:val="0044201B"/>
    <w:rsid w:val="00443479"/>
    <w:rsid w:val="004438F7"/>
    <w:rsid w:val="004442D0"/>
    <w:rsid w:val="0044555F"/>
    <w:rsid w:val="00446106"/>
    <w:rsid w:val="00451ABC"/>
    <w:rsid w:val="00451B3D"/>
    <w:rsid w:val="00451F8E"/>
    <w:rsid w:val="004520A3"/>
    <w:rsid w:val="0045340A"/>
    <w:rsid w:val="00454A08"/>
    <w:rsid w:val="00460157"/>
    <w:rsid w:val="004601DD"/>
    <w:rsid w:val="00464F2D"/>
    <w:rsid w:val="00465D15"/>
    <w:rsid w:val="00465EDC"/>
    <w:rsid w:val="00471337"/>
    <w:rsid w:val="00471402"/>
    <w:rsid w:val="00471534"/>
    <w:rsid w:val="00471597"/>
    <w:rsid w:val="00471A73"/>
    <w:rsid w:val="00473133"/>
    <w:rsid w:val="00474465"/>
    <w:rsid w:val="004748A0"/>
    <w:rsid w:val="00475519"/>
    <w:rsid w:val="00476DEE"/>
    <w:rsid w:val="00477743"/>
    <w:rsid w:val="00480FE3"/>
    <w:rsid w:val="00481ECC"/>
    <w:rsid w:val="00482335"/>
    <w:rsid w:val="00482D35"/>
    <w:rsid w:val="00482D86"/>
    <w:rsid w:val="00483B5A"/>
    <w:rsid w:val="00484101"/>
    <w:rsid w:val="004842BB"/>
    <w:rsid w:val="004846F4"/>
    <w:rsid w:val="0048484B"/>
    <w:rsid w:val="00484ED5"/>
    <w:rsid w:val="00485108"/>
    <w:rsid w:val="00485597"/>
    <w:rsid w:val="00487309"/>
    <w:rsid w:val="0048747F"/>
    <w:rsid w:val="00487AD9"/>
    <w:rsid w:val="00490132"/>
    <w:rsid w:val="00491B57"/>
    <w:rsid w:val="00492D8C"/>
    <w:rsid w:val="00492EE6"/>
    <w:rsid w:val="004942C3"/>
    <w:rsid w:val="00495DD6"/>
    <w:rsid w:val="00496ACB"/>
    <w:rsid w:val="00496CFF"/>
    <w:rsid w:val="004976A7"/>
    <w:rsid w:val="004A0A13"/>
    <w:rsid w:val="004A17FC"/>
    <w:rsid w:val="004A239C"/>
    <w:rsid w:val="004A2546"/>
    <w:rsid w:val="004A25DF"/>
    <w:rsid w:val="004A2CC8"/>
    <w:rsid w:val="004A4115"/>
    <w:rsid w:val="004A4D73"/>
    <w:rsid w:val="004A4EF5"/>
    <w:rsid w:val="004B0431"/>
    <w:rsid w:val="004B072F"/>
    <w:rsid w:val="004B08BA"/>
    <w:rsid w:val="004B0E09"/>
    <w:rsid w:val="004B0F46"/>
    <w:rsid w:val="004B1854"/>
    <w:rsid w:val="004B210A"/>
    <w:rsid w:val="004B2769"/>
    <w:rsid w:val="004B3B48"/>
    <w:rsid w:val="004B4229"/>
    <w:rsid w:val="004B5ED2"/>
    <w:rsid w:val="004B6FBD"/>
    <w:rsid w:val="004B77D6"/>
    <w:rsid w:val="004C0567"/>
    <w:rsid w:val="004C05CD"/>
    <w:rsid w:val="004C07E3"/>
    <w:rsid w:val="004C0924"/>
    <w:rsid w:val="004C44BC"/>
    <w:rsid w:val="004C461E"/>
    <w:rsid w:val="004C7C8A"/>
    <w:rsid w:val="004D0B8A"/>
    <w:rsid w:val="004D0D89"/>
    <w:rsid w:val="004D3481"/>
    <w:rsid w:val="004D377E"/>
    <w:rsid w:val="004D3B39"/>
    <w:rsid w:val="004D7D75"/>
    <w:rsid w:val="004E056D"/>
    <w:rsid w:val="004E1F24"/>
    <w:rsid w:val="004E227F"/>
    <w:rsid w:val="004E241D"/>
    <w:rsid w:val="004E2569"/>
    <w:rsid w:val="004E29AC"/>
    <w:rsid w:val="004E2D83"/>
    <w:rsid w:val="004E3B93"/>
    <w:rsid w:val="004E3D06"/>
    <w:rsid w:val="004E4702"/>
    <w:rsid w:val="004E4B19"/>
    <w:rsid w:val="004E5F35"/>
    <w:rsid w:val="004F01EA"/>
    <w:rsid w:val="004F0E7A"/>
    <w:rsid w:val="004F211A"/>
    <w:rsid w:val="004F394F"/>
    <w:rsid w:val="004F5888"/>
    <w:rsid w:val="004F5B27"/>
    <w:rsid w:val="004F6B06"/>
    <w:rsid w:val="004F6DE3"/>
    <w:rsid w:val="004F755F"/>
    <w:rsid w:val="004F7AE4"/>
    <w:rsid w:val="005024C2"/>
    <w:rsid w:val="00503653"/>
    <w:rsid w:val="00503834"/>
    <w:rsid w:val="00503F4F"/>
    <w:rsid w:val="005046D7"/>
    <w:rsid w:val="005053CE"/>
    <w:rsid w:val="005065C1"/>
    <w:rsid w:val="00506C52"/>
    <w:rsid w:val="00507508"/>
    <w:rsid w:val="005116F5"/>
    <w:rsid w:val="00511A0D"/>
    <w:rsid w:val="00511F7F"/>
    <w:rsid w:val="00512E9E"/>
    <w:rsid w:val="00513D2B"/>
    <w:rsid w:val="00514C56"/>
    <w:rsid w:val="00515F82"/>
    <w:rsid w:val="0051641D"/>
    <w:rsid w:val="00517004"/>
    <w:rsid w:val="00521817"/>
    <w:rsid w:val="00521B13"/>
    <w:rsid w:val="00522768"/>
    <w:rsid w:val="0052325E"/>
    <w:rsid w:val="00523632"/>
    <w:rsid w:val="00526124"/>
    <w:rsid w:val="00526958"/>
    <w:rsid w:val="00530611"/>
    <w:rsid w:val="0053175A"/>
    <w:rsid w:val="00531B7D"/>
    <w:rsid w:val="0053217E"/>
    <w:rsid w:val="005323F5"/>
    <w:rsid w:val="00532914"/>
    <w:rsid w:val="00533CB3"/>
    <w:rsid w:val="00533FCF"/>
    <w:rsid w:val="00534101"/>
    <w:rsid w:val="0053469C"/>
    <w:rsid w:val="00534FAE"/>
    <w:rsid w:val="00535395"/>
    <w:rsid w:val="005353C4"/>
    <w:rsid w:val="00536235"/>
    <w:rsid w:val="005369F9"/>
    <w:rsid w:val="00540E46"/>
    <w:rsid w:val="00541E0B"/>
    <w:rsid w:val="00542CC9"/>
    <w:rsid w:val="00545E6B"/>
    <w:rsid w:val="00545F48"/>
    <w:rsid w:val="005462CB"/>
    <w:rsid w:val="00547511"/>
    <w:rsid w:val="00550571"/>
    <w:rsid w:val="005509AE"/>
    <w:rsid w:val="00551409"/>
    <w:rsid w:val="00551455"/>
    <w:rsid w:val="005514E4"/>
    <w:rsid w:val="0055154F"/>
    <w:rsid w:val="00551F61"/>
    <w:rsid w:val="00551FFE"/>
    <w:rsid w:val="00552197"/>
    <w:rsid w:val="00552E39"/>
    <w:rsid w:val="00554315"/>
    <w:rsid w:val="00554403"/>
    <w:rsid w:val="00555DEE"/>
    <w:rsid w:val="005563DF"/>
    <w:rsid w:val="00556812"/>
    <w:rsid w:val="00557BF2"/>
    <w:rsid w:val="005623AD"/>
    <w:rsid w:val="0056489E"/>
    <w:rsid w:val="00565808"/>
    <w:rsid w:val="00571F8D"/>
    <w:rsid w:val="00572926"/>
    <w:rsid w:val="00572970"/>
    <w:rsid w:val="00573321"/>
    <w:rsid w:val="00573FF6"/>
    <w:rsid w:val="00574491"/>
    <w:rsid w:val="005777B0"/>
    <w:rsid w:val="005804C3"/>
    <w:rsid w:val="005811F2"/>
    <w:rsid w:val="0058210C"/>
    <w:rsid w:val="00582899"/>
    <w:rsid w:val="00582ED4"/>
    <w:rsid w:val="00583091"/>
    <w:rsid w:val="00583FFA"/>
    <w:rsid w:val="00585A66"/>
    <w:rsid w:val="00586172"/>
    <w:rsid w:val="00587D21"/>
    <w:rsid w:val="0059001F"/>
    <w:rsid w:val="00590047"/>
    <w:rsid w:val="005909AF"/>
    <w:rsid w:val="0059250B"/>
    <w:rsid w:val="00593089"/>
    <w:rsid w:val="00593169"/>
    <w:rsid w:val="00593AB3"/>
    <w:rsid w:val="00593B02"/>
    <w:rsid w:val="00594AA3"/>
    <w:rsid w:val="00594CC9"/>
    <w:rsid w:val="00595D54"/>
    <w:rsid w:val="00595E7B"/>
    <w:rsid w:val="00595F9A"/>
    <w:rsid w:val="005971E5"/>
    <w:rsid w:val="00597AD9"/>
    <w:rsid w:val="00597B4A"/>
    <w:rsid w:val="00597CF6"/>
    <w:rsid w:val="005A06A8"/>
    <w:rsid w:val="005A0C68"/>
    <w:rsid w:val="005A15B4"/>
    <w:rsid w:val="005A16F1"/>
    <w:rsid w:val="005A183B"/>
    <w:rsid w:val="005A1A5E"/>
    <w:rsid w:val="005A3053"/>
    <w:rsid w:val="005A33D0"/>
    <w:rsid w:val="005A4D70"/>
    <w:rsid w:val="005A791D"/>
    <w:rsid w:val="005B2988"/>
    <w:rsid w:val="005B2FC6"/>
    <w:rsid w:val="005B441B"/>
    <w:rsid w:val="005B48AD"/>
    <w:rsid w:val="005B54C1"/>
    <w:rsid w:val="005B55BC"/>
    <w:rsid w:val="005B6449"/>
    <w:rsid w:val="005C0FB9"/>
    <w:rsid w:val="005C20DB"/>
    <w:rsid w:val="005C28EC"/>
    <w:rsid w:val="005C428D"/>
    <w:rsid w:val="005C4ACA"/>
    <w:rsid w:val="005C6E96"/>
    <w:rsid w:val="005D068E"/>
    <w:rsid w:val="005D13AD"/>
    <w:rsid w:val="005D1778"/>
    <w:rsid w:val="005D1B93"/>
    <w:rsid w:val="005D35F7"/>
    <w:rsid w:val="005D3A88"/>
    <w:rsid w:val="005D5238"/>
    <w:rsid w:val="005D56F1"/>
    <w:rsid w:val="005D62E5"/>
    <w:rsid w:val="005D668C"/>
    <w:rsid w:val="005D7289"/>
    <w:rsid w:val="005D7354"/>
    <w:rsid w:val="005D7683"/>
    <w:rsid w:val="005E0D0F"/>
    <w:rsid w:val="005E1563"/>
    <w:rsid w:val="005E446C"/>
    <w:rsid w:val="005E4914"/>
    <w:rsid w:val="005E7CD2"/>
    <w:rsid w:val="005F1F57"/>
    <w:rsid w:val="005F4094"/>
    <w:rsid w:val="005F42D6"/>
    <w:rsid w:val="005F4305"/>
    <w:rsid w:val="005F56FB"/>
    <w:rsid w:val="005F5B1C"/>
    <w:rsid w:val="006005BA"/>
    <w:rsid w:val="00601EB6"/>
    <w:rsid w:val="00602317"/>
    <w:rsid w:val="006023A8"/>
    <w:rsid w:val="0060273F"/>
    <w:rsid w:val="006041F8"/>
    <w:rsid w:val="00604383"/>
    <w:rsid w:val="00604474"/>
    <w:rsid w:val="00605707"/>
    <w:rsid w:val="00610D3A"/>
    <w:rsid w:val="00611546"/>
    <w:rsid w:val="0061182C"/>
    <w:rsid w:val="00611BFA"/>
    <w:rsid w:val="00612780"/>
    <w:rsid w:val="006129F4"/>
    <w:rsid w:val="00613570"/>
    <w:rsid w:val="00613A90"/>
    <w:rsid w:val="00614F23"/>
    <w:rsid w:val="006154C3"/>
    <w:rsid w:val="00615E90"/>
    <w:rsid w:val="00615F50"/>
    <w:rsid w:val="0061769A"/>
    <w:rsid w:val="00617900"/>
    <w:rsid w:val="00617C50"/>
    <w:rsid w:val="00617DDD"/>
    <w:rsid w:val="00620560"/>
    <w:rsid w:val="00620DD0"/>
    <w:rsid w:val="00622754"/>
    <w:rsid w:val="00622960"/>
    <w:rsid w:val="0062296E"/>
    <w:rsid w:val="00623000"/>
    <w:rsid w:val="00623DD8"/>
    <w:rsid w:val="00623F8F"/>
    <w:rsid w:val="00624E45"/>
    <w:rsid w:val="00626E27"/>
    <w:rsid w:val="006276F6"/>
    <w:rsid w:val="00630129"/>
    <w:rsid w:val="0063076A"/>
    <w:rsid w:val="006311F3"/>
    <w:rsid w:val="00632A21"/>
    <w:rsid w:val="00633795"/>
    <w:rsid w:val="006350E5"/>
    <w:rsid w:val="00635C3A"/>
    <w:rsid w:val="0063659F"/>
    <w:rsid w:val="006369BF"/>
    <w:rsid w:val="00636A0A"/>
    <w:rsid w:val="00637E7E"/>
    <w:rsid w:val="00640E3A"/>
    <w:rsid w:val="0064104A"/>
    <w:rsid w:val="00641D6A"/>
    <w:rsid w:val="0064250F"/>
    <w:rsid w:val="00643838"/>
    <w:rsid w:val="00643E2F"/>
    <w:rsid w:val="006464F3"/>
    <w:rsid w:val="00646CDF"/>
    <w:rsid w:val="00647FF8"/>
    <w:rsid w:val="006524E6"/>
    <w:rsid w:val="00652955"/>
    <w:rsid w:val="00653F18"/>
    <w:rsid w:val="0065636E"/>
    <w:rsid w:val="006567DD"/>
    <w:rsid w:val="0065726C"/>
    <w:rsid w:val="00660E86"/>
    <w:rsid w:val="0066108B"/>
    <w:rsid w:val="00662DD6"/>
    <w:rsid w:val="00664D51"/>
    <w:rsid w:val="00664D5C"/>
    <w:rsid w:val="006652BD"/>
    <w:rsid w:val="00665C61"/>
    <w:rsid w:val="006660BA"/>
    <w:rsid w:val="00666670"/>
    <w:rsid w:val="00671172"/>
    <w:rsid w:val="00671718"/>
    <w:rsid w:val="00672030"/>
    <w:rsid w:val="00675943"/>
    <w:rsid w:val="006763C4"/>
    <w:rsid w:val="00677705"/>
    <w:rsid w:val="00677D0F"/>
    <w:rsid w:val="00677D27"/>
    <w:rsid w:val="006804B3"/>
    <w:rsid w:val="0068072B"/>
    <w:rsid w:val="00681547"/>
    <w:rsid w:val="00683E33"/>
    <w:rsid w:val="0068513D"/>
    <w:rsid w:val="006867A6"/>
    <w:rsid w:val="00686ED4"/>
    <w:rsid w:val="0068789B"/>
    <w:rsid w:val="00691728"/>
    <w:rsid w:val="00692E9B"/>
    <w:rsid w:val="0069324A"/>
    <w:rsid w:val="00693E81"/>
    <w:rsid w:val="00696FBF"/>
    <w:rsid w:val="00697D2B"/>
    <w:rsid w:val="006A0345"/>
    <w:rsid w:val="006A0B81"/>
    <w:rsid w:val="006A1351"/>
    <w:rsid w:val="006A170B"/>
    <w:rsid w:val="006A17D1"/>
    <w:rsid w:val="006A1C78"/>
    <w:rsid w:val="006A4E5C"/>
    <w:rsid w:val="006A5369"/>
    <w:rsid w:val="006A57C8"/>
    <w:rsid w:val="006A6646"/>
    <w:rsid w:val="006A665F"/>
    <w:rsid w:val="006A6787"/>
    <w:rsid w:val="006A7070"/>
    <w:rsid w:val="006A7AEE"/>
    <w:rsid w:val="006A7EED"/>
    <w:rsid w:val="006B0566"/>
    <w:rsid w:val="006B127E"/>
    <w:rsid w:val="006B3384"/>
    <w:rsid w:val="006B4037"/>
    <w:rsid w:val="006B4446"/>
    <w:rsid w:val="006B535A"/>
    <w:rsid w:val="006B6525"/>
    <w:rsid w:val="006B7A02"/>
    <w:rsid w:val="006C0052"/>
    <w:rsid w:val="006C07BB"/>
    <w:rsid w:val="006C0D9F"/>
    <w:rsid w:val="006C10FD"/>
    <w:rsid w:val="006C188A"/>
    <w:rsid w:val="006C32FF"/>
    <w:rsid w:val="006C37C6"/>
    <w:rsid w:val="006C3B22"/>
    <w:rsid w:val="006C5385"/>
    <w:rsid w:val="006C56B1"/>
    <w:rsid w:val="006C6E52"/>
    <w:rsid w:val="006D14E4"/>
    <w:rsid w:val="006D26BB"/>
    <w:rsid w:val="006D4440"/>
    <w:rsid w:val="006D47D8"/>
    <w:rsid w:val="006D58A4"/>
    <w:rsid w:val="006D5F80"/>
    <w:rsid w:val="006D6DFE"/>
    <w:rsid w:val="006D711E"/>
    <w:rsid w:val="006E2458"/>
    <w:rsid w:val="006E2935"/>
    <w:rsid w:val="006E29D0"/>
    <w:rsid w:val="006E3051"/>
    <w:rsid w:val="006E446F"/>
    <w:rsid w:val="006E59BE"/>
    <w:rsid w:val="006E5C17"/>
    <w:rsid w:val="006E71F2"/>
    <w:rsid w:val="006E7DF1"/>
    <w:rsid w:val="006F05E3"/>
    <w:rsid w:val="006F10A0"/>
    <w:rsid w:val="006F20A1"/>
    <w:rsid w:val="006F23C4"/>
    <w:rsid w:val="006F2D70"/>
    <w:rsid w:val="006F39FF"/>
    <w:rsid w:val="006F5369"/>
    <w:rsid w:val="006F6218"/>
    <w:rsid w:val="006F62E0"/>
    <w:rsid w:val="006F6B30"/>
    <w:rsid w:val="006F7C1A"/>
    <w:rsid w:val="00701A70"/>
    <w:rsid w:val="00702D7B"/>
    <w:rsid w:val="00703254"/>
    <w:rsid w:val="00705BDE"/>
    <w:rsid w:val="0070658C"/>
    <w:rsid w:val="00706A2B"/>
    <w:rsid w:val="00706B0A"/>
    <w:rsid w:val="007073C7"/>
    <w:rsid w:val="007074B7"/>
    <w:rsid w:val="00711250"/>
    <w:rsid w:val="007112DF"/>
    <w:rsid w:val="00711506"/>
    <w:rsid w:val="0071249F"/>
    <w:rsid w:val="00712AD6"/>
    <w:rsid w:val="007130D0"/>
    <w:rsid w:val="0071331C"/>
    <w:rsid w:val="0071347C"/>
    <w:rsid w:val="00714AC2"/>
    <w:rsid w:val="0071603D"/>
    <w:rsid w:val="00716E66"/>
    <w:rsid w:val="007171E9"/>
    <w:rsid w:val="0071748D"/>
    <w:rsid w:val="00717E1A"/>
    <w:rsid w:val="00720283"/>
    <w:rsid w:val="00722866"/>
    <w:rsid w:val="0072357D"/>
    <w:rsid w:val="00724DC5"/>
    <w:rsid w:val="00725242"/>
    <w:rsid w:val="007259FB"/>
    <w:rsid w:val="00726D1E"/>
    <w:rsid w:val="0072794A"/>
    <w:rsid w:val="00730249"/>
    <w:rsid w:val="00730287"/>
    <w:rsid w:val="00730666"/>
    <w:rsid w:val="00730B9A"/>
    <w:rsid w:val="00732A93"/>
    <w:rsid w:val="00734290"/>
    <w:rsid w:val="0073436B"/>
    <w:rsid w:val="007347AD"/>
    <w:rsid w:val="00734FD9"/>
    <w:rsid w:val="00736486"/>
    <w:rsid w:val="00741534"/>
    <w:rsid w:val="00742CB6"/>
    <w:rsid w:val="00742E36"/>
    <w:rsid w:val="007431E7"/>
    <w:rsid w:val="0074323C"/>
    <w:rsid w:val="00743902"/>
    <w:rsid w:val="0074519D"/>
    <w:rsid w:val="00745335"/>
    <w:rsid w:val="00745797"/>
    <w:rsid w:val="00745BEC"/>
    <w:rsid w:val="00745E4A"/>
    <w:rsid w:val="007471B0"/>
    <w:rsid w:val="00747CD8"/>
    <w:rsid w:val="00750769"/>
    <w:rsid w:val="007511A4"/>
    <w:rsid w:val="007512E5"/>
    <w:rsid w:val="007512F2"/>
    <w:rsid w:val="00752B70"/>
    <w:rsid w:val="00752CD1"/>
    <w:rsid w:val="00753058"/>
    <w:rsid w:val="007532CB"/>
    <w:rsid w:val="00753D04"/>
    <w:rsid w:val="00754212"/>
    <w:rsid w:val="00754B55"/>
    <w:rsid w:val="0075515D"/>
    <w:rsid w:val="0075519A"/>
    <w:rsid w:val="00755D74"/>
    <w:rsid w:val="00756893"/>
    <w:rsid w:val="00756D02"/>
    <w:rsid w:val="00757C8D"/>
    <w:rsid w:val="00761150"/>
    <w:rsid w:val="00761619"/>
    <w:rsid w:val="00761963"/>
    <w:rsid w:val="0076206A"/>
    <w:rsid w:val="00762145"/>
    <w:rsid w:val="00762FA1"/>
    <w:rsid w:val="00763FA4"/>
    <w:rsid w:val="00764153"/>
    <w:rsid w:val="00764854"/>
    <w:rsid w:val="00765435"/>
    <w:rsid w:val="007655A5"/>
    <w:rsid w:val="007678A3"/>
    <w:rsid w:val="00767B1A"/>
    <w:rsid w:val="00770DF7"/>
    <w:rsid w:val="00771C81"/>
    <w:rsid w:val="0077272D"/>
    <w:rsid w:val="00773FB0"/>
    <w:rsid w:val="00774616"/>
    <w:rsid w:val="00774D45"/>
    <w:rsid w:val="00776DF2"/>
    <w:rsid w:val="0077737E"/>
    <w:rsid w:val="007775AC"/>
    <w:rsid w:val="00777AF1"/>
    <w:rsid w:val="007809AB"/>
    <w:rsid w:val="00781115"/>
    <w:rsid w:val="00782FDA"/>
    <w:rsid w:val="007839C1"/>
    <w:rsid w:val="00783CF9"/>
    <w:rsid w:val="0078401F"/>
    <w:rsid w:val="00784E8C"/>
    <w:rsid w:val="00786076"/>
    <w:rsid w:val="007861DE"/>
    <w:rsid w:val="007869D0"/>
    <w:rsid w:val="00786FCE"/>
    <w:rsid w:val="00787374"/>
    <w:rsid w:val="00790913"/>
    <w:rsid w:val="007910CA"/>
    <w:rsid w:val="00791580"/>
    <w:rsid w:val="007939EB"/>
    <w:rsid w:val="007951A6"/>
    <w:rsid w:val="00796004"/>
    <w:rsid w:val="00796466"/>
    <w:rsid w:val="00796FFB"/>
    <w:rsid w:val="00797265"/>
    <w:rsid w:val="007A0001"/>
    <w:rsid w:val="007A1140"/>
    <w:rsid w:val="007A1614"/>
    <w:rsid w:val="007A1FE2"/>
    <w:rsid w:val="007A2B96"/>
    <w:rsid w:val="007A3885"/>
    <w:rsid w:val="007A48A6"/>
    <w:rsid w:val="007A5E84"/>
    <w:rsid w:val="007A5F25"/>
    <w:rsid w:val="007A6F1C"/>
    <w:rsid w:val="007A78CA"/>
    <w:rsid w:val="007B0E01"/>
    <w:rsid w:val="007B1B6A"/>
    <w:rsid w:val="007B2CE1"/>
    <w:rsid w:val="007B3137"/>
    <w:rsid w:val="007B3DB7"/>
    <w:rsid w:val="007B4B87"/>
    <w:rsid w:val="007B5DB5"/>
    <w:rsid w:val="007B5FF6"/>
    <w:rsid w:val="007B65D9"/>
    <w:rsid w:val="007B7486"/>
    <w:rsid w:val="007C0613"/>
    <w:rsid w:val="007C0EAF"/>
    <w:rsid w:val="007C0ECC"/>
    <w:rsid w:val="007C2418"/>
    <w:rsid w:val="007C2A17"/>
    <w:rsid w:val="007C35E1"/>
    <w:rsid w:val="007C37A0"/>
    <w:rsid w:val="007C3E63"/>
    <w:rsid w:val="007C439D"/>
    <w:rsid w:val="007C44A7"/>
    <w:rsid w:val="007C4787"/>
    <w:rsid w:val="007C7C68"/>
    <w:rsid w:val="007D2066"/>
    <w:rsid w:val="007D30FA"/>
    <w:rsid w:val="007D4EBF"/>
    <w:rsid w:val="007D56A2"/>
    <w:rsid w:val="007D676C"/>
    <w:rsid w:val="007D6AD4"/>
    <w:rsid w:val="007D6E70"/>
    <w:rsid w:val="007D6F3B"/>
    <w:rsid w:val="007D7723"/>
    <w:rsid w:val="007E09F1"/>
    <w:rsid w:val="007E2797"/>
    <w:rsid w:val="007E2B62"/>
    <w:rsid w:val="007E2DB8"/>
    <w:rsid w:val="007E3F8C"/>
    <w:rsid w:val="007E4118"/>
    <w:rsid w:val="007E4D3A"/>
    <w:rsid w:val="007E5164"/>
    <w:rsid w:val="007E6254"/>
    <w:rsid w:val="007E73CA"/>
    <w:rsid w:val="007E7467"/>
    <w:rsid w:val="007E76E8"/>
    <w:rsid w:val="007E7DAA"/>
    <w:rsid w:val="007F003A"/>
    <w:rsid w:val="007F0426"/>
    <w:rsid w:val="007F04A3"/>
    <w:rsid w:val="007F0B7D"/>
    <w:rsid w:val="007F0BB1"/>
    <w:rsid w:val="007F0EE5"/>
    <w:rsid w:val="007F1238"/>
    <w:rsid w:val="007F2699"/>
    <w:rsid w:val="007F2FB5"/>
    <w:rsid w:val="007F3242"/>
    <w:rsid w:val="007F439B"/>
    <w:rsid w:val="007F47D2"/>
    <w:rsid w:val="007F5279"/>
    <w:rsid w:val="007F5E15"/>
    <w:rsid w:val="0080042C"/>
    <w:rsid w:val="0080081A"/>
    <w:rsid w:val="008010E2"/>
    <w:rsid w:val="00801D56"/>
    <w:rsid w:val="00802899"/>
    <w:rsid w:val="00803C2C"/>
    <w:rsid w:val="008043E0"/>
    <w:rsid w:val="008044E6"/>
    <w:rsid w:val="00804D09"/>
    <w:rsid w:val="0080721E"/>
    <w:rsid w:val="0081003E"/>
    <w:rsid w:val="0081311F"/>
    <w:rsid w:val="008134B0"/>
    <w:rsid w:val="008138B6"/>
    <w:rsid w:val="00813C79"/>
    <w:rsid w:val="00814E85"/>
    <w:rsid w:val="00815BDD"/>
    <w:rsid w:val="00815D44"/>
    <w:rsid w:val="00816716"/>
    <w:rsid w:val="00816A4D"/>
    <w:rsid w:val="00816F82"/>
    <w:rsid w:val="00817452"/>
    <w:rsid w:val="008174D2"/>
    <w:rsid w:val="008177B5"/>
    <w:rsid w:val="00820E6A"/>
    <w:rsid w:val="00823674"/>
    <w:rsid w:val="0082563E"/>
    <w:rsid w:val="00825889"/>
    <w:rsid w:val="00825C34"/>
    <w:rsid w:val="008269D6"/>
    <w:rsid w:val="00826EAE"/>
    <w:rsid w:val="00826ECE"/>
    <w:rsid w:val="00826FFD"/>
    <w:rsid w:val="00827294"/>
    <w:rsid w:val="00827DCD"/>
    <w:rsid w:val="008309E3"/>
    <w:rsid w:val="0083115C"/>
    <w:rsid w:val="0083278A"/>
    <w:rsid w:val="0083461D"/>
    <w:rsid w:val="00834C42"/>
    <w:rsid w:val="00835624"/>
    <w:rsid w:val="00837BC5"/>
    <w:rsid w:val="00842607"/>
    <w:rsid w:val="00842E52"/>
    <w:rsid w:val="0084401F"/>
    <w:rsid w:val="00844A33"/>
    <w:rsid w:val="00845022"/>
    <w:rsid w:val="008470E3"/>
    <w:rsid w:val="00847415"/>
    <w:rsid w:val="00847B0C"/>
    <w:rsid w:val="00850A02"/>
    <w:rsid w:val="00851B3F"/>
    <w:rsid w:val="00852C4A"/>
    <w:rsid w:val="0085400F"/>
    <w:rsid w:val="00854A1A"/>
    <w:rsid w:val="008550F1"/>
    <w:rsid w:val="008552B4"/>
    <w:rsid w:val="00857620"/>
    <w:rsid w:val="00861B69"/>
    <w:rsid w:val="00861D5A"/>
    <w:rsid w:val="00861DA7"/>
    <w:rsid w:val="00861DB8"/>
    <w:rsid w:val="00862AE5"/>
    <w:rsid w:val="00862B95"/>
    <w:rsid w:val="008630A9"/>
    <w:rsid w:val="00866268"/>
    <w:rsid w:val="008666AC"/>
    <w:rsid w:val="00866986"/>
    <w:rsid w:val="00866E28"/>
    <w:rsid w:val="00867DCB"/>
    <w:rsid w:val="00870AAE"/>
    <w:rsid w:val="008710F1"/>
    <w:rsid w:val="00872ACD"/>
    <w:rsid w:val="00872EB3"/>
    <w:rsid w:val="00874238"/>
    <w:rsid w:val="00876B9F"/>
    <w:rsid w:val="008771EA"/>
    <w:rsid w:val="0088044F"/>
    <w:rsid w:val="00880B4A"/>
    <w:rsid w:val="00880CC6"/>
    <w:rsid w:val="00881100"/>
    <w:rsid w:val="00881641"/>
    <w:rsid w:val="008820E3"/>
    <w:rsid w:val="008829FF"/>
    <w:rsid w:val="0088360B"/>
    <w:rsid w:val="008844F4"/>
    <w:rsid w:val="008846DA"/>
    <w:rsid w:val="00884786"/>
    <w:rsid w:val="008863DF"/>
    <w:rsid w:val="008868D3"/>
    <w:rsid w:val="00886B0D"/>
    <w:rsid w:val="0089006E"/>
    <w:rsid w:val="008904B2"/>
    <w:rsid w:val="00890F25"/>
    <w:rsid w:val="0089340F"/>
    <w:rsid w:val="00894564"/>
    <w:rsid w:val="00894FAE"/>
    <w:rsid w:val="00895EC8"/>
    <w:rsid w:val="00896CE2"/>
    <w:rsid w:val="00897846"/>
    <w:rsid w:val="008A1CAA"/>
    <w:rsid w:val="008A220A"/>
    <w:rsid w:val="008A30C9"/>
    <w:rsid w:val="008A4435"/>
    <w:rsid w:val="008A4878"/>
    <w:rsid w:val="008A56AD"/>
    <w:rsid w:val="008A5736"/>
    <w:rsid w:val="008A6835"/>
    <w:rsid w:val="008A6BCE"/>
    <w:rsid w:val="008A6C47"/>
    <w:rsid w:val="008A7150"/>
    <w:rsid w:val="008A747E"/>
    <w:rsid w:val="008B062A"/>
    <w:rsid w:val="008B063A"/>
    <w:rsid w:val="008B0F9B"/>
    <w:rsid w:val="008B11D1"/>
    <w:rsid w:val="008B1296"/>
    <w:rsid w:val="008B1B3A"/>
    <w:rsid w:val="008B25B9"/>
    <w:rsid w:val="008B2AB5"/>
    <w:rsid w:val="008B3762"/>
    <w:rsid w:val="008B4068"/>
    <w:rsid w:val="008B441B"/>
    <w:rsid w:val="008B58CB"/>
    <w:rsid w:val="008B6E0B"/>
    <w:rsid w:val="008B6E13"/>
    <w:rsid w:val="008B6FD8"/>
    <w:rsid w:val="008C1DA2"/>
    <w:rsid w:val="008C1EE5"/>
    <w:rsid w:val="008C23ED"/>
    <w:rsid w:val="008C2EB4"/>
    <w:rsid w:val="008C3416"/>
    <w:rsid w:val="008C36D0"/>
    <w:rsid w:val="008C36F3"/>
    <w:rsid w:val="008C4AE6"/>
    <w:rsid w:val="008C52B9"/>
    <w:rsid w:val="008C5457"/>
    <w:rsid w:val="008C56EA"/>
    <w:rsid w:val="008C628E"/>
    <w:rsid w:val="008C663E"/>
    <w:rsid w:val="008C6BB2"/>
    <w:rsid w:val="008D0475"/>
    <w:rsid w:val="008D21D7"/>
    <w:rsid w:val="008D30B5"/>
    <w:rsid w:val="008D3145"/>
    <w:rsid w:val="008D4751"/>
    <w:rsid w:val="008D49EB"/>
    <w:rsid w:val="008D5B48"/>
    <w:rsid w:val="008E0FBB"/>
    <w:rsid w:val="008E1C88"/>
    <w:rsid w:val="008E22DF"/>
    <w:rsid w:val="008E2AB0"/>
    <w:rsid w:val="008E3507"/>
    <w:rsid w:val="008E3548"/>
    <w:rsid w:val="008E48B0"/>
    <w:rsid w:val="008E5609"/>
    <w:rsid w:val="008E5E91"/>
    <w:rsid w:val="008E6EFC"/>
    <w:rsid w:val="008F2F1B"/>
    <w:rsid w:val="008F34D1"/>
    <w:rsid w:val="008F3B76"/>
    <w:rsid w:val="008F3C23"/>
    <w:rsid w:val="008F4D39"/>
    <w:rsid w:val="008F4E97"/>
    <w:rsid w:val="008F4F37"/>
    <w:rsid w:val="008F5818"/>
    <w:rsid w:val="008F6118"/>
    <w:rsid w:val="008F657C"/>
    <w:rsid w:val="008F68D1"/>
    <w:rsid w:val="008F6CAB"/>
    <w:rsid w:val="008F6CB0"/>
    <w:rsid w:val="008F7309"/>
    <w:rsid w:val="0090046A"/>
    <w:rsid w:val="00901905"/>
    <w:rsid w:val="00901D98"/>
    <w:rsid w:val="00902C81"/>
    <w:rsid w:val="00903E08"/>
    <w:rsid w:val="00904BA1"/>
    <w:rsid w:val="00905B39"/>
    <w:rsid w:val="0090614B"/>
    <w:rsid w:val="0090630D"/>
    <w:rsid w:val="0091020E"/>
    <w:rsid w:val="00910D9E"/>
    <w:rsid w:val="0091161C"/>
    <w:rsid w:val="00911B5F"/>
    <w:rsid w:val="00912624"/>
    <w:rsid w:val="00912FFC"/>
    <w:rsid w:val="009159D3"/>
    <w:rsid w:val="00915FF7"/>
    <w:rsid w:val="0091658B"/>
    <w:rsid w:val="00916813"/>
    <w:rsid w:val="00916928"/>
    <w:rsid w:val="00917599"/>
    <w:rsid w:val="009175C8"/>
    <w:rsid w:val="009179EF"/>
    <w:rsid w:val="00917B18"/>
    <w:rsid w:val="00920EBB"/>
    <w:rsid w:val="00922105"/>
    <w:rsid w:val="00923579"/>
    <w:rsid w:val="00924756"/>
    <w:rsid w:val="00925A4D"/>
    <w:rsid w:val="00925CAD"/>
    <w:rsid w:val="009300B5"/>
    <w:rsid w:val="00930F32"/>
    <w:rsid w:val="0093291A"/>
    <w:rsid w:val="00933AF8"/>
    <w:rsid w:val="00933CD6"/>
    <w:rsid w:val="00934648"/>
    <w:rsid w:val="00934E02"/>
    <w:rsid w:val="00936F35"/>
    <w:rsid w:val="009370FF"/>
    <w:rsid w:val="0094006C"/>
    <w:rsid w:val="00940758"/>
    <w:rsid w:val="009414DC"/>
    <w:rsid w:val="00943136"/>
    <w:rsid w:val="00943805"/>
    <w:rsid w:val="0094403F"/>
    <w:rsid w:val="00944C42"/>
    <w:rsid w:val="00946B8C"/>
    <w:rsid w:val="00947ABE"/>
    <w:rsid w:val="00947BC5"/>
    <w:rsid w:val="009510F2"/>
    <w:rsid w:val="0095184A"/>
    <w:rsid w:val="0095210F"/>
    <w:rsid w:val="00952CEE"/>
    <w:rsid w:val="00953591"/>
    <w:rsid w:val="009539B8"/>
    <w:rsid w:val="00953BDC"/>
    <w:rsid w:val="00953DEC"/>
    <w:rsid w:val="009545D5"/>
    <w:rsid w:val="00954BFB"/>
    <w:rsid w:val="00955FC0"/>
    <w:rsid w:val="00956B27"/>
    <w:rsid w:val="00957040"/>
    <w:rsid w:val="0095709C"/>
    <w:rsid w:val="00957F45"/>
    <w:rsid w:val="00961B92"/>
    <w:rsid w:val="009639E6"/>
    <w:rsid w:val="00963AC2"/>
    <w:rsid w:val="00964223"/>
    <w:rsid w:val="00964419"/>
    <w:rsid w:val="00965111"/>
    <w:rsid w:val="00966B3F"/>
    <w:rsid w:val="00966CF5"/>
    <w:rsid w:val="009672AD"/>
    <w:rsid w:val="00970613"/>
    <w:rsid w:val="00970F70"/>
    <w:rsid w:val="009717D9"/>
    <w:rsid w:val="00971C4E"/>
    <w:rsid w:val="009720BE"/>
    <w:rsid w:val="009727F1"/>
    <w:rsid w:val="00972DBE"/>
    <w:rsid w:val="0097503A"/>
    <w:rsid w:val="00975070"/>
    <w:rsid w:val="00975E1B"/>
    <w:rsid w:val="009767B2"/>
    <w:rsid w:val="00976F07"/>
    <w:rsid w:val="009779D4"/>
    <w:rsid w:val="00980639"/>
    <w:rsid w:val="00980AEC"/>
    <w:rsid w:val="00980E56"/>
    <w:rsid w:val="009810A7"/>
    <w:rsid w:val="00981A4D"/>
    <w:rsid w:val="0098201E"/>
    <w:rsid w:val="00982BD4"/>
    <w:rsid w:val="009836BF"/>
    <w:rsid w:val="009837F5"/>
    <w:rsid w:val="00983C28"/>
    <w:rsid w:val="00983DD4"/>
    <w:rsid w:val="009854E0"/>
    <w:rsid w:val="00986A84"/>
    <w:rsid w:val="00987340"/>
    <w:rsid w:val="009875B4"/>
    <w:rsid w:val="00987978"/>
    <w:rsid w:val="00987F70"/>
    <w:rsid w:val="0099072A"/>
    <w:rsid w:val="00990B65"/>
    <w:rsid w:val="00990FDB"/>
    <w:rsid w:val="0099101E"/>
    <w:rsid w:val="009917F2"/>
    <w:rsid w:val="00992867"/>
    <w:rsid w:val="00993CAC"/>
    <w:rsid w:val="00994635"/>
    <w:rsid w:val="00996835"/>
    <w:rsid w:val="00997ED4"/>
    <w:rsid w:val="009A12CD"/>
    <w:rsid w:val="009A2AEB"/>
    <w:rsid w:val="009A2CB4"/>
    <w:rsid w:val="009A46BC"/>
    <w:rsid w:val="009A4DEF"/>
    <w:rsid w:val="009A6D12"/>
    <w:rsid w:val="009B0533"/>
    <w:rsid w:val="009B09CA"/>
    <w:rsid w:val="009B156D"/>
    <w:rsid w:val="009B174D"/>
    <w:rsid w:val="009B2F05"/>
    <w:rsid w:val="009B3195"/>
    <w:rsid w:val="009B34DF"/>
    <w:rsid w:val="009B3589"/>
    <w:rsid w:val="009B37B3"/>
    <w:rsid w:val="009B441E"/>
    <w:rsid w:val="009B4D42"/>
    <w:rsid w:val="009B55DE"/>
    <w:rsid w:val="009B6C88"/>
    <w:rsid w:val="009B7A1C"/>
    <w:rsid w:val="009C0D74"/>
    <w:rsid w:val="009C10E3"/>
    <w:rsid w:val="009C1982"/>
    <w:rsid w:val="009C27AE"/>
    <w:rsid w:val="009C2D1B"/>
    <w:rsid w:val="009C3516"/>
    <w:rsid w:val="009C3BB6"/>
    <w:rsid w:val="009C53F6"/>
    <w:rsid w:val="009C5C7D"/>
    <w:rsid w:val="009C79B0"/>
    <w:rsid w:val="009D0578"/>
    <w:rsid w:val="009D0CDD"/>
    <w:rsid w:val="009D39D8"/>
    <w:rsid w:val="009D5E7D"/>
    <w:rsid w:val="009D75E1"/>
    <w:rsid w:val="009D75FF"/>
    <w:rsid w:val="009D792B"/>
    <w:rsid w:val="009D796F"/>
    <w:rsid w:val="009E64B1"/>
    <w:rsid w:val="009E666C"/>
    <w:rsid w:val="009F0973"/>
    <w:rsid w:val="009F2296"/>
    <w:rsid w:val="009F26E3"/>
    <w:rsid w:val="009F2A8A"/>
    <w:rsid w:val="009F48AF"/>
    <w:rsid w:val="009F4CE9"/>
    <w:rsid w:val="009F60D3"/>
    <w:rsid w:val="009F69B0"/>
    <w:rsid w:val="009F6D2A"/>
    <w:rsid w:val="009F6ED9"/>
    <w:rsid w:val="009F7079"/>
    <w:rsid w:val="009F7EF9"/>
    <w:rsid w:val="00A006C0"/>
    <w:rsid w:val="00A009C4"/>
    <w:rsid w:val="00A0139B"/>
    <w:rsid w:val="00A017A6"/>
    <w:rsid w:val="00A025D6"/>
    <w:rsid w:val="00A03FD5"/>
    <w:rsid w:val="00A0504E"/>
    <w:rsid w:val="00A06439"/>
    <w:rsid w:val="00A06586"/>
    <w:rsid w:val="00A07E29"/>
    <w:rsid w:val="00A11017"/>
    <w:rsid w:val="00A116C6"/>
    <w:rsid w:val="00A11B9B"/>
    <w:rsid w:val="00A13795"/>
    <w:rsid w:val="00A14109"/>
    <w:rsid w:val="00A14526"/>
    <w:rsid w:val="00A15106"/>
    <w:rsid w:val="00A15555"/>
    <w:rsid w:val="00A15A0F"/>
    <w:rsid w:val="00A17256"/>
    <w:rsid w:val="00A1740A"/>
    <w:rsid w:val="00A17A07"/>
    <w:rsid w:val="00A20DD4"/>
    <w:rsid w:val="00A2145D"/>
    <w:rsid w:val="00A24018"/>
    <w:rsid w:val="00A24490"/>
    <w:rsid w:val="00A24B31"/>
    <w:rsid w:val="00A25EFE"/>
    <w:rsid w:val="00A26652"/>
    <w:rsid w:val="00A30601"/>
    <w:rsid w:val="00A3246B"/>
    <w:rsid w:val="00A33015"/>
    <w:rsid w:val="00A33483"/>
    <w:rsid w:val="00A336CD"/>
    <w:rsid w:val="00A33A87"/>
    <w:rsid w:val="00A3565A"/>
    <w:rsid w:val="00A401C8"/>
    <w:rsid w:val="00A40429"/>
    <w:rsid w:val="00A41C4B"/>
    <w:rsid w:val="00A41C65"/>
    <w:rsid w:val="00A4619D"/>
    <w:rsid w:val="00A469E8"/>
    <w:rsid w:val="00A47504"/>
    <w:rsid w:val="00A475C7"/>
    <w:rsid w:val="00A50710"/>
    <w:rsid w:val="00A50CCA"/>
    <w:rsid w:val="00A520D6"/>
    <w:rsid w:val="00A5317B"/>
    <w:rsid w:val="00A53438"/>
    <w:rsid w:val="00A55104"/>
    <w:rsid w:val="00A57F3E"/>
    <w:rsid w:val="00A60194"/>
    <w:rsid w:val="00A602DD"/>
    <w:rsid w:val="00A605F4"/>
    <w:rsid w:val="00A613FC"/>
    <w:rsid w:val="00A6144C"/>
    <w:rsid w:val="00A626D1"/>
    <w:rsid w:val="00A62F51"/>
    <w:rsid w:val="00A63277"/>
    <w:rsid w:val="00A64F3F"/>
    <w:rsid w:val="00A6506A"/>
    <w:rsid w:val="00A65335"/>
    <w:rsid w:val="00A65DD6"/>
    <w:rsid w:val="00A6675D"/>
    <w:rsid w:val="00A67155"/>
    <w:rsid w:val="00A71B67"/>
    <w:rsid w:val="00A721F7"/>
    <w:rsid w:val="00A72E77"/>
    <w:rsid w:val="00A750AF"/>
    <w:rsid w:val="00A75DFE"/>
    <w:rsid w:val="00A75E06"/>
    <w:rsid w:val="00A767A2"/>
    <w:rsid w:val="00A77286"/>
    <w:rsid w:val="00A77DA0"/>
    <w:rsid w:val="00A80BE0"/>
    <w:rsid w:val="00A81694"/>
    <w:rsid w:val="00A81E35"/>
    <w:rsid w:val="00A83364"/>
    <w:rsid w:val="00A859FC"/>
    <w:rsid w:val="00A85B37"/>
    <w:rsid w:val="00A87CBE"/>
    <w:rsid w:val="00A9084B"/>
    <w:rsid w:val="00A90BFA"/>
    <w:rsid w:val="00A919CA"/>
    <w:rsid w:val="00A934E5"/>
    <w:rsid w:val="00A93EB7"/>
    <w:rsid w:val="00A94190"/>
    <w:rsid w:val="00A94906"/>
    <w:rsid w:val="00A957A2"/>
    <w:rsid w:val="00A95DC4"/>
    <w:rsid w:val="00A96526"/>
    <w:rsid w:val="00A96A75"/>
    <w:rsid w:val="00A97FAC"/>
    <w:rsid w:val="00AA0B0F"/>
    <w:rsid w:val="00AA124D"/>
    <w:rsid w:val="00AA2D89"/>
    <w:rsid w:val="00AA389A"/>
    <w:rsid w:val="00AA547E"/>
    <w:rsid w:val="00AA6ED3"/>
    <w:rsid w:val="00AA78C2"/>
    <w:rsid w:val="00AA7EA3"/>
    <w:rsid w:val="00AB4253"/>
    <w:rsid w:val="00AB4354"/>
    <w:rsid w:val="00AB4D1E"/>
    <w:rsid w:val="00AB5919"/>
    <w:rsid w:val="00AB63AC"/>
    <w:rsid w:val="00AB7C25"/>
    <w:rsid w:val="00AC1DC9"/>
    <w:rsid w:val="00AC2761"/>
    <w:rsid w:val="00AC38B1"/>
    <w:rsid w:val="00AC3A99"/>
    <w:rsid w:val="00AC3D80"/>
    <w:rsid w:val="00AC4180"/>
    <w:rsid w:val="00AC5635"/>
    <w:rsid w:val="00AC5DF4"/>
    <w:rsid w:val="00AC7900"/>
    <w:rsid w:val="00AC7965"/>
    <w:rsid w:val="00AD07F4"/>
    <w:rsid w:val="00AD0AC3"/>
    <w:rsid w:val="00AD0D9E"/>
    <w:rsid w:val="00AD1426"/>
    <w:rsid w:val="00AD2044"/>
    <w:rsid w:val="00AD26A2"/>
    <w:rsid w:val="00AD310B"/>
    <w:rsid w:val="00AD6035"/>
    <w:rsid w:val="00AD6D53"/>
    <w:rsid w:val="00AD73FB"/>
    <w:rsid w:val="00AE0E6B"/>
    <w:rsid w:val="00AE3706"/>
    <w:rsid w:val="00AE39E2"/>
    <w:rsid w:val="00AE3D79"/>
    <w:rsid w:val="00AE7249"/>
    <w:rsid w:val="00AE7D38"/>
    <w:rsid w:val="00AF0063"/>
    <w:rsid w:val="00AF0E4D"/>
    <w:rsid w:val="00AF1924"/>
    <w:rsid w:val="00AF1DA6"/>
    <w:rsid w:val="00AF21B0"/>
    <w:rsid w:val="00AF4B23"/>
    <w:rsid w:val="00AF4F15"/>
    <w:rsid w:val="00AF5954"/>
    <w:rsid w:val="00AF6068"/>
    <w:rsid w:val="00AF6284"/>
    <w:rsid w:val="00AF63EF"/>
    <w:rsid w:val="00AF6E4F"/>
    <w:rsid w:val="00B000AC"/>
    <w:rsid w:val="00B01949"/>
    <w:rsid w:val="00B01A4D"/>
    <w:rsid w:val="00B03403"/>
    <w:rsid w:val="00B04044"/>
    <w:rsid w:val="00B04115"/>
    <w:rsid w:val="00B046E8"/>
    <w:rsid w:val="00B049F1"/>
    <w:rsid w:val="00B04DC8"/>
    <w:rsid w:val="00B06332"/>
    <w:rsid w:val="00B06BCD"/>
    <w:rsid w:val="00B10F52"/>
    <w:rsid w:val="00B11295"/>
    <w:rsid w:val="00B12087"/>
    <w:rsid w:val="00B12614"/>
    <w:rsid w:val="00B12C57"/>
    <w:rsid w:val="00B144EB"/>
    <w:rsid w:val="00B1482B"/>
    <w:rsid w:val="00B14A07"/>
    <w:rsid w:val="00B14BCC"/>
    <w:rsid w:val="00B14FBF"/>
    <w:rsid w:val="00B1619B"/>
    <w:rsid w:val="00B1788D"/>
    <w:rsid w:val="00B17FB8"/>
    <w:rsid w:val="00B2048F"/>
    <w:rsid w:val="00B21313"/>
    <w:rsid w:val="00B21759"/>
    <w:rsid w:val="00B217F3"/>
    <w:rsid w:val="00B22E81"/>
    <w:rsid w:val="00B23A47"/>
    <w:rsid w:val="00B23CFA"/>
    <w:rsid w:val="00B261FE"/>
    <w:rsid w:val="00B26282"/>
    <w:rsid w:val="00B27BA9"/>
    <w:rsid w:val="00B30A09"/>
    <w:rsid w:val="00B31610"/>
    <w:rsid w:val="00B32924"/>
    <w:rsid w:val="00B341A5"/>
    <w:rsid w:val="00B34877"/>
    <w:rsid w:val="00B34A65"/>
    <w:rsid w:val="00B34DDF"/>
    <w:rsid w:val="00B34EE2"/>
    <w:rsid w:val="00B352BE"/>
    <w:rsid w:val="00B377D0"/>
    <w:rsid w:val="00B37F91"/>
    <w:rsid w:val="00B40C01"/>
    <w:rsid w:val="00B4132A"/>
    <w:rsid w:val="00B4196F"/>
    <w:rsid w:val="00B453C0"/>
    <w:rsid w:val="00B46799"/>
    <w:rsid w:val="00B470F7"/>
    <w:rsid w:val="00B47981"/>
    <w:rsid w:val="00B50666"/>
    <w:rsid w:val="00B52BB5"/>
    <w:rsid w:val="00B52DDE"/>
    <w:rsid w:val="00B52EEF"/>
    <w:rsid w:val="00B53AFC"/>
    <w:rsid w:val="00B54AF7"/>
    <w:rsid w:val="00B55CD5"/>
    <w:rsid w:val="00B56BDD"/>
    <w:rsid w:val="00B57DFB"/>
    <w:rsid w:val="00B6052F"/>
    <w:rsid w:val="00B61AE6"/>
    <w:rsid w:val="00B625EF"/>
    <w:rsid w:val="00B62928"/>
    <w:rsid w:val="00B64028"/>
    <w:rsid w:val="00B640B1"/>
    <w:rsid w:val="00B64EB9"/>
    <w:rsid w:val="00B656CB"/>
    <w:rsid w:val="00B65FEA"/>
    <w:rsid w:val="00B6689C"/>
    <w:rsid w:val="00B67702"/>
    <w:rsid w:val="00B7063C"/>
    <w:rsid w:val="00B71ABA"/>
    <w:rsid w:val="00B71E10"/>
    <w:rsid w:val="00B73437"/>
    <w:rsid w:val="00B74943"/>
    <w:rsid w:val="00B74E6F"/>
    <w:rsid w:val="00B779BC"/>
    <w:rsid w:val="00B80298"/>
    <w:rsid w:val="00B81EE5"/>
    <w:rsid w:val="00B8221D"/>
    <w:rsid w:val="00B83432"/>
    <w:rsid w:val="00B85456"/>
    <w:rsid w:val="00B868BC"/>
    <w:rsid w:val="00B91E28"/>
    <w:rsid w:val="00B91E61"/>
    <w:rsid w:val="00B949B9"/>
    <w:rsid w:val="00B95A4D"/>
    <w:rsid w:val="00B95ECD"/>
    <w:rsid w:val="00B96FB8"/>
    <w:rsid w:val="00BA0EAD"/>
    <w:rsid w:val="00BA17C7"/>
    <w:rsid w:val="00BA1A69"/>
    <w:rsid w:val="00BA3726"/>
    <w:rsid w:val="00BA469A"/>
    <w:rsid w:val="00BA4BCF"/>
    <w:rsid w:val="00BA5275"/>
    <w:rsid w:val="00BA5350"/>
    <w:rsid w:val="00BA618B"/>
    <w:rsid w:val="00BA659C"/>
    <w:rsid w:val="00BA6CED"/>
    <w:rsid w:val="00BA6F38"/>
    <w:rsid w:val="00BB0F09"/>
    <w:rsid w:val="00BB12B2"/>
    <w:rsid w:val="00BB4345"/>
    <w:rsid w:val="00BB4749"/>
    <w:rsid w:val="00BB4A35"/>
    <w:rsid w:val="00BB5C38"/>
    <w:rsid w:val="00BB5F31"/>
    <w:rsid w:val="00BB5FA3"/>
    <w:rsid w:val="00BB75D4"/>
    <w:rsid w:val="00BC04C7"/>
    <w:rsid w:val="00BC0A7E"/>
    <w:rsid w:val="00BC0C85"/>
    <w:rsid w:val="00BC20DA"/>
    <w:rsid w:val="00BC42A6"/>
    <w:rsid w:val="00BC5867"/>
    <w:rsid w:val="00BC64A9"/>
    <w:rsid w:val="00BC66D2"/>
    <w:rsid w:val="00BC70A3"/>
    <w:rsid w:val="00BC7E4D"/>
    <w:rsid w:val="00BD01CD"/>
    <w:rsid w:val="00BD12D3"/>
    <w:rsid w:val="00BD1310"/>
    <w:rsid w:val="00BD1745"/>
    <w:rsid w:val="00BD29A8"/>
    <w:rsid w:val="00BD2D7F"/>
    <w:rsid w:val="00BD397C"/>
    <w:rsid w:val="00BD4E3E"/>
    <w:rsid w:val="00BD5F1B"/>
    <w:rsid w:val="00BD60FB"/>
    <w:rsid w:val="00BD6BEE"/>
    <w:rsid w:val="00BE0C72"/>
    <w:rsid w:val="00BE1CC2"/>
    <w:rsid w:val="00BE235A"/>
    <w:rsid w:val="00BE3DA9"/>
    <w:rsid w:val="00BE3DD7"/>
    <w:rsid w:val="00BE6796"/>
    <w:rsid w:val="00BE77DA"/>
    <w:rsid w:val="00BF0DB8"/>
    <w:rsid w:val="00BF24C2"/>
    <w:rsid w:val="00BF29AE"/>
    <w:rsid w:val="00BF3E4B"/>
    <w:rsid w:val="00BF4046"/>
    <w:rsid w:val="00BF49F1"/>
    <w:rsid w:val="00BF5CAD"/>
    <w:rsid w:val="00BF6983"/>
    <w:rsid w:val="00BF79EC"/>
    <w:rsid w:val="00BF7DB1"/>
    <w:rsid w:val="00C000CC"/>
    <w:rsid w:val="00C00158"/>
    <w:rsid w:val="00C0091C"/>
    <w:rsid w:val="00C00ACE"/>
    <w:rsid w:val="00C017FE"/>
    <w:rsid w:val="00C032D3"/>
    <w:rsid w:val="00C04852"/>
    <w:rsid w:val="00C06303"/>
    <w:rsid w:val="00C06C18"/>
    <w:rsid w:val="00C10712"/>
    <w:rsid w:val="00C10BF8"/>
    <w:rsid w:val="00C120FA"/>
    <w:rsid w:val="00C12E71"/>
    <w:rsid w:val="00C13B16"/>
    <w:rsid w:val="00C13E8F"/>
    <w:rsid w:val="00C14BDF"/>
    <w:rsid w:val="00C14F18"/>
    <w:rsid w:val="00C16148"/>
    <w:rsid w:val="00C1667B"/>
    <w:rsid w:val="00C16F01"/>
    <w:rsid w:val="00C17031"/>
    <w:rsid w:val="00C2071D"/>
    <w:rsid w:val="00C20919"/>
    <w:rsid w:val="00C22D5A"/>
    <w:rsid w:val="00C22DBB"/>
    <w:rsid w:val="00C245C1"/>
    <w:rsid w:val="00C251A1"/>
    <w:rsid w:val="00C260E9"/>
    <w:rsid w:val="00C26578"/>
    <w:rsid w:val="00C265B0"/>
    <w:rsid w:val="00C3078E"/>
    <w:rsid w:val="00C30A65"/>
    <w:rsid w:val="00C310D3"/>
    <w:rsid w:val="00C31CEC"/>
    <w:rsid w:val="00C32FFC"/>
    <w:rsid w:val="00C33C70"/>
    <w:rsid w:val="00C33CF9"/>
    <w:rsid w:val="00C33FDE"/>
    <w:rsid w:val="00C3515F"/>
    <w:rsid w:val="00C354D0"/>
    <w:rsid w:val="00C3648F"/>
    <w:rsid w:val="00C36641"/>
    <w:rsid w:val="00C37673"/>
    <w:rsid w:val="00C409EC"/>
    <w:rsid w:val="00C416AF"/>
    <w:rsid w:val="00C41876"/>
    <w:rsid w:val="00C4275B"/>
    <w:rsid w:val="00C42B54"/>
    <w:rsid w:val="00C42CCE"/>
    <w:rsid w:val="00C4364C"/>
    <w:rsid w:val="00C4492A"/>
    <w:rsid w:val="00C44A60"/>
    <w:rsid w:val="00C45B45"/>
    <w:rsid w:val="00C46B08"/>
    <w:rsid w:val="00C4729A"/>
    <w:rsid w:val="00C47D44"/>
    <w:rsid w:val="00C50D01"/>
    <w:rsid w:val="00C50DE4"/>
    <w:rsid w:val="00C53752"/>
    <w:rsid w:val="00C53976"/>
    <w:rsid w:val="00C53B3B"/>
    <w:rsid w:val="00C57012"/>
    <w:rsid w:val="00C605DE"/>
    <w:rsid w:val="00C60F58"/>
    <w:rsid w:val="00C6129C"/>
    <w:rsid w:val="00C61530"/>
    <w:rsid w:val="00C63714"/>
    <w:rsid w:val="00C64FF8"/>
    <w:rsid w:val="00C658F0"/>
    <w:rsid w:val="00C65BFD"/>
    <w:rsid w:val="00C661F8"/>
    <w:rsid w:val="00C66B3D"/>
    <w:rsid w:val="00C66EC3"/>
    <w:rsid w:val="00C66F06"/>
    <w:rsid w:val="00C67F7E"/>
    <w:rsid w:val="00C67FC9"/>
    <w:rsid w:val="00C70F41"/>
    <w:rsid w:val="00C724CB"/>
    <w:rsid w:val="00C74584"/>
    <w:rsid w:val="00C74895"/>
    <w:rsid w:val="00C76C84"/>
    <w:rsid w:val="00C8299F"/>
    <w:rsid w:val="00C83354"/>
    <w:rsid w:val="00C8373A"/>
    <w:rsid w:val="00C839E8"/>
    <w:rsid w:val="00C83F61"/>
    <w:rsid w:val="00C83F91"/>
    <w:rsid w:val="00C8455D"/>
    <w:rsid w:val="00C84AF0"/>
    <w:rsid w:val="00C87B47"/>
    <w:rsid w:val="00C94172"/>
    <w:rsid w:val="00C9545B"/>
    <w:rsid w:val="00C95EE5"/>
    <w:rsid w:val="00C9723E"/>
    <w:rsid w:val="00C97272"/>
    <w:rsid w:val="00CA0543"/>
    <w:rsid w:val="00CA0672"/>
    <w:rsid w:val="00CA15A4"/>
    <w:rsid w:val="00CA1FCA"/>
    <w:rsid w:val="00CA204A"/>
    <w:rsid w:val="00CA2F8C"/>
    <w:rsid w:val="00CA3543"/>
    <w:rsid w:val="00CA3F1C"/>
    <w:rsid w:val="00CA5CFF"/>
    <w:rsid w:val="00CA65E7"/>
    <w:rsid w:val="00CA6C1C"/>
    <w:rsid w:val="00CA774C"/>
    <w:rsid w:val="00CB0512"/>
    <w:rsid w:val="00CB0EE6"/>
    <w:rsid w:val="00CB4DB4"/>
    <w:rsid w:val="00CB5F67"/>
    <w:rsid w:val="00CC05FD"/>
    <w:rsid w:val="00CC17EB"/>
    <w:rsid w:val="00CC24A7"/>
    <w:rsid w:val="00CC503D"/>
    <w:rsid w:val="00CC6D84"/>
    <w:rsid w:val="00CC7C8A"/>
    <w:rsid w:val="00CC7EF8"/>
    <w:rsid w:val="00CD19CC"/>
    <w:rsid w:val="00CD1CD9"/>
    <w:rsid w:val="00CD4609"/>
    <w:rsid w:val="00CD703E"/>
    <w:rsid w:val="00CD74C1"/>
    <w:rsid w:val="00CD7C9A"/>
    <w:rsid w:val="00CE06CB"/>
    <w:rsid w:val="00CE10B4"/>
    <w:rsid w:val="00CE2BEA"/>
    <w:rsid w:val="00CE2C5D"/>
    <w:rsid w:val="00CE3166"/>
    <w:rsid w:val="00CE458E"/>
    <w:rsid w:val="00CE4A47"/>
    <w:rsid w:val="00CE55F5"/>
    <w:rsid w:val="00CE568B"/>
    <w:rsid w:val="00CE5DE3"/>
    <w:rsid w:val="00CE60F1"/>
    <w:rsid w:val="00CE6D31"/>
    <w:rsid w:val="00CE7401"/>
    <w:rsid w:val="00CE7572"/>
    <w:rsid w:val="00CF1300"/>
    <w:rsid w:val="00CF22F2"/>
    <w:rsid w:val="00CF2FDF"/>
    <w:rsid w:val="00CF30A7"/>
    <w:rsid w:val="00CF3860"/>
    <w:rsid w:val="00CF38A4"/>
    <w:rsid w:val="00CF3EE2"/>
    <w:rsid w:val="00CF465A"/>
    <w:rsid w:val="00CF5391"/>
    <w:rsid w:val="00CF5A4B"/>
    <w:rsid w:val="00CF5CFB"/>
    <w:rsid w:val="00D02527"/>
    <w:rsid w:val="00D0352B"/>
    <w:rsid w:val="00D04A75"/>
    <w:rsid w:val="00D05C00"/>
    <w:rsid w:val="00D1087F"/>
    <w:rsid w:val="00D12034"/>
    <w:rsid w:val="00D12BC8"/>
    <w:rsid w:val="00D14BBA"/>
    <w:rsid w:val="00D1701F"/>
    <w:rsid w:val="00D20596"/>
    <w:rsid w:val="00D20863"/>
    <w:rsid w:val="00D209CD"/>
    <w:rsid w:val="00D20A67"/>
    <w:rsid w:val="00D224D0"/>
    <w:rsid w:val="00D22856"/>
    <w:rsid w:val="00D23063"/>
    <w:rsid w:val="00D234BC"/>
    <w:rsid w:val="00D239C1"/>
    <w:rsid w:val="00D240B3"/>
    <w:rsid w:val="00D242A9"/>
    <w:rsid w:val="00D243B8"/>
    <w:rsid w:val="00D245EF"/>
    <w:rsid w:val="00D248F0"/>
    <w:rsid w:val="00D25C5B"/>
    <w:rsid w:val="00D26616"/>
    <w:rsid w:val="00D2690A"/>
    <w:rsid w:val="00D26DDF"/>
    <w:rsid w:val="00D27D9A"/>
    <w:rsid w:val="00D3293A"/>
    <w:rsid w:val="00D34522"/>
    <w:rsid w:val="00D35DF6"/>
    <w:rsid w:val="00D37193"/>
    <w:rsid w:val="00D37732"/>
    <w:rsid w:val="00D37A61"/>
    <w:rsid w:val="00D40169"/>
    <w:rsid w:val="00D404CA"/>
    <w:rsid w:val="00D40555"/>
    <w:rsid w:val="00D415E5"/>
    <w:rsid w:val="00D41EB0"/>
    <w:rsid w:val="00D43CC3"/>
    <w:rsid w:val="00D45B5E"/>
    <w:rsid w:val="00D45BFA"/>
    <w:rsid w:val="00D45E5D"/>
    <w:rsid w:val="00D46302"/>
    <w:rsid w:val="00D475D9"/>
    <w:rsid w:val="00D51064"/>
    <w:rsid w:val="00D53752"/>
    <w:rsid w:val="00D54376"/>
    <w:rsid w:val="00D550A4"/>
    <w:rsid w:val="00D55106"/>
    <w:rsid w:val="00D55514"/>
    <w:rsid w:val="00D56CF5"/>
    <w:rsid w:val="00D604CD"/>
    <w:rsid w:val="00D61197"/>
    <w:rsid w:val="00D61768"/>
    <w:rsid w:val="00D622A1"/>
    <w:rsid w:val="00D63853"/>
    <w:rsid w:val="00D63F13"/>
    <w:rsid w:val="00D654F6"/>
    <w:rsid w:val="00D667DC"/>
    <w:rsid w:val="00D70C49"/>
    <w:rsid w:val="00D7202A"/>
    <w:rsid w:val="00D72E36"/>
    <w:rsid w:val="00D735D5"/>
    <w:rsid w:val="00D73C7C"/>
    <w:rsid w:val="00D7627E"/>
    <w:rsid w:val="00D765BB"/>
    <w:rsid w:val="00D76E03"/>
    <w:rsid w:val="00D8007E"/>
    <w:rsid w:val="00D80777"/>
    <w:rsid w:val="00D80CD2"/>
    <w:rsid w:val="00D829A0"/>
    <w:rsid w:val="00D82B8B"/>
    <w:rsid w:val="00D836C0"/>
    <w:rsid w:val="00D844DB"/>
    <w:rsid w:val="00D84BC1"/>
    <w:rsid w:val="00D85122"/>
    <w:rsid w:val="00D8682A"/>
    <w:rsid w:val="00D87E89"/>
    <w:rsid w:val="00D900B9"/>
    <w:rsid w:val="00D91717"/>
    <w:rsid w:val="00D9317C"/>
    <w:rsid w:val="00D949C7"/>
    <w:rsid w:val="00D95435"/>
    <w:rsid w:val="00D96640"/>
    <w:rsid w:val="00D969C9"/>
    <w:rsid w:val="00D97AB8"/>
    <w:rsid w:val="00DA010F"/>
    <w:rsid w:val="00DA025E"/>
    <w:rsid w:val="00DA309E"/>
    <w:rsid w:val="00DA3385"/>
    <w:rsid w:val="00DA446B"/>
    <w:rsid w:val="00DA5336"/>
    <w:rsid w:val="00DA5F3A"/>
    <w:rsid w:val="00DA6596"/>
    <w:rsid w:val="00DA6743"/>
    <w:rsid w:val="00DA68B2"/>
    <w:rsid w:val="00DA7C24"/>
    <w:rsid w:val="00DB0407"/>
    <w:rsid w:val="00DB107C"/>
    <w:rsid w:val="00DB2280"/>
    <w:rsid w:val="00DB2369"/>
    <w:rsid w:val="00DB2649"/>
    <w:rsid w:val="00DB38F4"/>
    <w:rsid w:val="00DB3A01"/>
    <w:rsid w:val="00DB4639"/>
    <w:rsid w:val="00DB4D95"/>
    <w:rsid w:val="00DB512E"/>
    <w:rsid w:val="00DB7B9C"/>
    <w:rsid w:val="00DB7D40"/>
    <w:rsid w:val="00DB7DBA"/>
    <w:rsid w:val="00DC0352"/>
    <w:rsid w:val="00DC1501"/>
    <w:rsid w:val="00DC1CFD"/>
    <w:rsid w:val="00DC1EF7"/>
    <w:rsid w:val="00DC251B"/>
    <w:rsid w:val="00DC2648"/>
    <w:rsid w:val="00DC5F25"/>
    <w:rsid w:val="00DC6076"/>
    <w:rsid w:val="00DC648F"/>
    <w:rsid w:val="00DC7DA4"/>
    <w:rsid w:val="00DD0F46"/>
    <w:rsid w:val="00DD1009"/>
    <w:rsid w:val="00DD22E6"/>
    <w:rsid w:val="00DD23BF"/>
    <w:rsid w:val="00DD2840"/>
    <w:rsid w:val="00DD453B"/>
    <w:rsid w:val="00DD4ACF"/>
    <w:rsid w:val="00DD568F"/>
    <w:rsid w:val="00DD5AF1"/>
    <w:rsid w:val="00DD6514"/>
    <w:rsid w:val="00DD7AA7"/>
    <w:rsid w:val="00DD7B2D"/>
    <w:rsid w:val="00DD7B56"/>
    <w:rsid w:val="00DE293C"/>
    <w:rsid w:val="00DE37BD"/>
    <w:rsid w:val="00DE42EC"/>
    <w:rsid w:val="00DE5363"/>
    <w:rsid w:val="00DE5AF1"/>
    <w:rsid w:val="00DE6183"/>
    <w:rsid w:val="00DE6A36"/>
    <w:rsid w:val="00DE6CDD"/>
    <w:rsid w:val="00DE6E60"/>
    <w:rsid w:val="00DE7F50"/>
    <w:rsid w:val="00DF06BC"/>
    <w:rsid w:val="00DF1920"/>
    <w:rsid w:val="00DF1A5F"/>
    <w:rsid w:val="00DF1CA0"/>
    <w:rsid w:val="00DF20D1"/>
    <w:rsid w:val="00DF3A29"/>
    <w:rsid w:val="00DF52C1"/>
    <w:rsid w:val="00DF5DD8"/>
    <w:rsid w:val="00DF6309"/>
    <w:rsid w:val="00DF63E9"/>
    <w:rsid w:val="00DF7510"/>
    <w:rsid w:val="00E0087D"/>
    <w:rsid w:val="00E00D11"/>
    <w:rsid w:val="00E02038"/>
    <w:rsid w:val="00E030EF"/>
    <w:rsid w:val="00E03808"/>
    <w:rsid w:val="00E04A3B"/>
    <w:rsid w:val="00E04A5D"/>
    <w:rsid w:val="00E04F27"/>
    <w:rsid w:val="00E053DC"/>
    <w:rsid w:val="00E101D3"/>
    <w:rsid w:val="00E10676"/>
    <w:rsid w:val="00E11D51"/>
    <w:rsid w:val="00E139E5"/>
    <w:rsid w:val="00E13AC9"/>
    <w:rsid w:val="00E13DED"/>
    <w:rsid w:val="00E14747"/>
    <w:rsid w:val="00E1495E"/>
    <w:rsid w:val="00E165C6"/>
    <w:rsid w:val="00E17772"/>
    <w:rsid w:val="00E204E1"/>
    <w:rsid w:val="00E20AEC"/>
    <w:rsid w:val="00E245DF"/>
    <w:rsid w:val="00E24FD7"/>
    <w:rsid w:val="00E2693C"/>
    <w:rsid w:val="00E27DFB"/>
    <w:rsid w:val="00E307A2"/>
    <w:rsid w:val="00E31611"/>
    <w:rsid w:val="00E343FA"/>
    <w:rsid w:val="00E34964"/>
    <w:rsid w:val="00E369BB"/>
    <w:rsid w:val="00E400FC"/>
    <w:rsid w:val="00E42509"/>
    <w:rsid w:val="00E42C2E"/>
    <w:rsid w:val="00E42E1C"/>
    <w:rsid w:val="00E4316B"/>
    <w:rsid w:val="00E43276"/>
    <w:rsid w:val="00E43FAC"/>
    <w:rsid w:val="00E448AD"/>
    <w:rsid w:val="00E44C2A"/>
    <w:rsid w:val="00E450C9"/>
    <w:rsid w:val="00E456AC"/>
    <w:rsid w:val="00E457DD"/>
    <w:rsid w:val="00E474CE"/>
    <w:rsid w:val="00E504AA"/>
    <w:rsid w:val="00E5124A"/>
    <w:rsid w:val="00E5149A"/>
    <w:rsid w:val="00E51DFC"/>
    <w:rsid w:val="00E51F5A"/>
    <w:rsid w:val="00E5490C"/>
    <w:rsid w:val="00E554DC"/>
    <w:rsid w:val="00E5638C"/>
    <w:rsid w:val="00E5763B"/>
    <w:rsid w:val="00E6025B"/>
    <w:rsid w:val="00E60E05"/>
    <w:rsid w:val="00E619F2"/>
    <w:rsid w:val="00E61B2A"/>
    <w:rsid w:val="00E61E8A"/>
    <w:rsid w:val="00E61EA9"/>
    <w:rsid w:val="00E6222D"/>
    <w:rsid w:val="00E63597"/>
    <w:rsid w:val="00E648D9"/>
    <w:rsid w:val="00E64D43"/>
    <w:rsid w:val="00E651AD"/>
    <w:rsid w:val="00E66C09"/>
    <w:rsid w:val="00E7019B"/>
    <w:rsid w:val="00E704EF"/>
    <w:rsid w:val="00E71A88"/>
    <w:rsid w:val="00E71CE1"/>
    <w:rsid w:val="00E72451"/>
    <w:rsid w:val="00E744C4"/>
    <w:rsid w:val="00E7464E"/>
    <w:rsid w:val="00E746D8"/>
    <w:rsid w:val="00E75AFF"/>
    <w:rsid w:val="00E765A8"/>
    <w:rsid w:val="00E76766"/>
    <w:rsid w:val="00E76FB3"/>
    <w:rsid w:val="00E77CA5"/>
    <w:rsid w:val="00E811B3"/>
    <w:rsid w:val="00E81C8C"/>
    <w:rsid w:val="00E8279D"/>
    <w:rsid w:val="00E82B11"/>
    <w:rsid w:val="00E82CE3"/>
    <w:rsid w:val="00E85560"/>
    <w:rsid w:val="00E85ACD"/>
    <w:rsid w:val="00E861E9"/>
    <w:rsid w:val="00E862E0"/>
    <w:rsid w:val="00E86F3C"/>
    <w:rsid w:val="00E87025"/>
    <w:rsid w:val="00E87905"/>
    <w:rsid w:val="00E87DCB"/>
    <w:rsid w:val="00E91777"/>
    <w:rsid w:val="00E95485"/>
    <w:rsid w:val="00E95D3A"/>
    <w:rsid w:val="00E95F35"/>
    <w:rsid w:val="00E9603C"/>
    <w:rsid w:val="00E96CE9"/>
    <w:rsid w:val="00E96FDA"/>
    <w:rsid w:val="00EA056F"/>
    <w:rsid w:val="00EA26B2"/>
    <w:rsid w:val="00EA2AAE"/>
    <w:rsid w:val="00EA3083"/>
    <w:rsid w:val="00EA3845"/>
    <w:rsid w:val="00EA4055"/>
    <w:rsid w:val="00EA4644"/>
    <w:rsid w:val="00EA5897"/>
    <w:rsid w:val="00EA5C6E"/>
    <w:rsid w:val="00EA709D"/>
    <w:rsid w:val="00EA78B3"/>
    <w:rsid w:val="00EB03D1"/>
    <w:rsid w:val="00EB0FE1"/>
    <w:rsid w:val="00EB131E"/>
    <w:rsid w:val="00EB1572"/>
    <w:rsid w:val="00EB2409"/>
    <w:rsid w:val="00EB3871"/>
    <w:rsid w:val="00EB3F2C"/>
    <w:rsid w:val="00EB464C"/>
    <w:rsid w:val="00EB6484"/>
    <w:rsid w:val="00EB65EF"/>
    <w:rsid w:val="00EC0462"/>
    <w:rsid w:val="00EC13D8"/>
    <w:rsid w:val="00EC1AAE"/>
    <w:rsid w:val="00EC2626"/>
    <w:rsid w:val="00EC3351"/>
    <w:rsid w:val="00EC4821"/>
    <w:rsid w:val="00EC4A23"/>
    <w:rsid w:val="00EC56EE"/>
    <w:rsid w:val="00EC5E11"/>
    <w:rsid w:val="00EC5E24"/>
    <w:rsid w:val="00EC7038"/>
    <w:rsid w:val="00EC706E"/>
    <w:rsid w:val="00ED0188"/>
    <w:rsid w:val="00ED0243"/>
    <w:rsid w:val="00ED0325"/>
    <w:rsid w:val="00ED17B0"/>
    <w:rsid w:val="00ED262D"/>
    <w:rsid w:val="00ED4A05"/>
    <w:rsid w:val="00ED58D7"/>
    <w:rsid w:val="00ED5B25"/>
    <w:rsid w:val="00ED5FB0"/>
    <w:rsid w:val="00ED6A94"/>
    <w:rsid w:val="00ED7355"/>
    <w:rsid w:val="00ED7AE8"/>
    <w:rsid w:val="00ED7C07"/>
    <w:rsid w:val="00EE0B32"/>
    <w:rsid w:val="00EE1A61"/>
    <w:rsid w:val="00EE2D69"/>
    <w:rsid w:val="00EE3735"/>
    <w:rsid w:val="00EE4334"/>
    <w:rsid w:val="00EE4E07"/>
    <w:rsid w:val="00EE53DD"/>
    <w:rsid w:val="00EE54C5"/>
    <w:rsid w:val="00EE6621"/>
    <w:rsid w:val="00EE697B"/>
    <w:rsid w:val="00EE699E"/>
    <w:rsid w:val="00EE6C49"/>
    <w:rsid w:val="00EE73DF"/>
    <w:rsid w:val="00EE77FA"/>
    <w:rsid w:val="00EE7831"/>
    <w:rsid w:val="00EE79B5"/>
    <w:rsid w:val="00EF01A2"/>
    <w:rsid w:val="00EF42AC"/>
    <w:rsid w:val="00EF5C05"/>
    <w:rsid w:val="00EF7C58"/>
    <w:rsid w:val="00F00165"/>
    <w:rsid w:val="00F01B58"/>
    <w:rsid w:val="00F02621"/>
    <w:rsid w:val="00F03100"/>
    <w:rsid w:val="00F03865"/>
    <w:rsid w:val="00F0427D"/>
    <w:rsid w:val="00F042AC"/>
    <w:rsid w:val="00F05648"/>
    <w:rsid w:val="00F0578C"/>
    <w:rsid w:val="00F068A2"/>
    <w:rsid w:val="00F079A1"/>
    <w:rsid w:val="00F07B18"/>
    <w:rsid w:val="00F11074"/>
    <w:rsid w:val="00F12990"/>
    <w:rsid w:val="00F14FB4"/>
    <w:rsid w:val="00F15363"/>
    <w:rsid w:val="00F15566"/>
    <w:rsid w:val="00F15F98"/>
    <w:rsid w:val="00F15FB3"/>
    <w:rsid w:val="00F16322"/>
    <w:rsid w:val="00F1692A"/>
    <w:rsid w:val="00F175CB"/>
    <w:rsid w:val="00F20446"/>
    <w:rsid w:val="00F20DE9"/>
    <w:rsid w:val="00F21CA1"/>
    <w:rsid w:val="00F22B7B"/>
    <w:rsid w:val="00F22CE5"/>
    <w:rsid w:val="00F2478D"/>
    <w:rsid w:val="00F2606E"/>
    <w:rsid w:val="00F26439"/>
    <w:rsid w:val="00F30324"/>
    <w:rsid w:val="00F3044C"/>
    <w:rsid w:val="00F3122E"/>
    <w:rsid w:val="00F31890"/>
    <w:rsid w:val="00F3195A"/>
    <w:rsid w:val="00F31BEC"/>
    <w:rsid w:val="00F3277F"/>
    <w:rsid w:val="00F32C34"/>
    <w:rsid w:val="00F32D0B"/>
    <w:rsid w:val="00F3330D"/>
    <w:rsid w:val="00F3362F"/>
    <w:rsid w:val="00F34047"/>
    <w:rsid w:val="00F348A1"/>
    <w:rsid w:val="00F35191"/>
    <w:rsid w:val="00F35196"/>
    <w:rsid w:val="00F36755"/>
    <w:rsid w:val="00F36B86"/>
    <w:rsid w:val="00F37A09"/>
    <w:rsid w:val="00F413F7"/>
    <w:rsid w:val="00F41529"/>
    <w:rsid w:val="00F4314C"/>
    <w:rsid w:val="00F43966"/>
    <w:rsid w:val="00F44E5C"/>
    <w:rsid w:val="00F45A6E"/>
    <w:rsid w:val="00F45E02"/>
    <w:rsid w:val="00F47BB8"/>
    <w:rsid w:val="00F47FC1"/>
    <w:rsid w:val="00F50335"/>
    <w:rsid w:val="00F50538"/>
    <w:rsid w:val="00F5091D"/>
    <w:rsid w:val="00F5181A"/>
    <w:rsid w:val="00F52391"/>
    <w:rsid w:val="00F52A28"/>
    <w:rsid w:val="00F52C8A"/>
    <w:rsid w:val="00F53B67"/>
    <w:rsid w:val="00F541D7"/>
    <w:rsid w:val="00F5475C"/>
    <w:rsid w:val="00F54AF9"/>
    <w:rsid w:val="00F54B47"/>
    <w:rsid w:val="00F5502B"/>
    <w:rsid w:val="00F56344"/>
    <w:rsid w:val="00F56720"/>
    <w:rsid w:val="00F57A00"/>
    <w:rsid w:val="00F60147"/>
    <w:rsid w:val="00F6075F"/>
    <w:rsid w:val="00F60BBB"/>
    <w:rsid w:val="00F61075"/>
    <w:rsid w:val="00F61529"/>
    <w:rsid w:val="00F62B64"/>
    <w:rsid w:val="00F64368"/>
    <w:rsid w:val="00F64939"/>
    <w:rsid w:val="00F651E3"/>
    <w:rsid w:val="00F7130A"/>
    <w:rsid w:val="00F71FD4"/>
    <w:rsid w:val="00F72390"/>
    <w:rsid w:val="00F7284D"/>
    <w:rsid w:val="00F74A92"/>
    <w:rsid w:val="00F74C63"/>
    <w:rsid w:val="00F74EE6"/>
    <w:rsid w:val="00F75758"/>
    <w:rsid w:val="00F76522"/>
    <w:rsid w:val="00F767C3"/>
    <w:rsid w:val="00F7704F"/>
    <w:rsid w:val="00F7784D"/>
    <w:rsid w:val="00F806EB"/>
    <w:rsid w:val="00F818AF"/>
    <w:rsid w:val="00F81ACA"/>
    <w:rsid w:val="00F82290"/>
    <w:rsid w:val="00F8258B"/>
    <w:rsid w:val="00F830BE"/>
    <w:rsid w:val="00F83805"/>
    <w:rsid w:val="00F855BD"/>
    <w:rsid w:val="00F858C4"/>
    <w:rsid w:val="00F8647A"/>
    <w:rsid w:val="00F87710"/>
    <w:rsid w:val="00F90393"/>
    <w:rsid w:val="00F905BC"/>
    <w:rsid w:val="00F90A8A"/>
    <w:rsid w:val="00F91A40"/>
    <w:rsid w:val="00F9244B"/>
    <w:rsid w:val="00F9491A"/>
    <w:rsid w:val="00F94AB1"/>
    <w:rsid w:val="00F94E97"/>
    <w:rsid w:val="00F9559F"/>
    <w:rsid w:val="00F958C9"/>
    <w:rsid w:val="00F96A49"/>
    <w:rsid w:val="00F96ACE"/>
    <w:rsid w:val="00F97335"/>
    <w:rsid w:val="00FA137E"/>
    <w:rsid w:val="00FA2305"/>
    <w:rsid w:val="00FA2469"/>
    <w:rsid w:val="00FA2D2E"/>
    <w:rsid w:val="00FA2E13"/>
    <w:rsid w:val="00FA2E31"/>
    <w:rsid w:val="00FA50FE"/>
    <w:rsid w:val="00FA53B5"/>
    <w:rsid w:val="00FA5674"/>
    <w:rsid w:val="00FA5ADF"/>
    <w:rsid w:val="00FA6678"/>
    <w:rsid w:val="00FA79FA"/>
    <w:rsid w:val="00FB1168"/>
    <w:rsid w:val="00FB2099"/>
    <w:rsid w:val="00FB2389"/>
    <w:rsid w:val="00FB2B07"/>
    <w:rsid w:val="00FB2E64"/>
    <w:rsid w:val="00FB30EB"/>
    <w:rsid w:val="00FB5216"/>
    <w:rsid w:val="00FB52F1"/>
    <w:rsid w:val="00FB5EE3"/>
    <w:rsid w:val="00FB6131"/>
    <w:rsid w:val="00FB61A7"/>
    <w:rsid w:val="00FC0605"/>
    <w:rsid w:val="00FC1DAF"/>
    <w:rsid w:val="00FC3377"/>
    <w:rsid w:val="00FC3EB3"/>
    <w:rsid w:val="00FC3F2A"/>
    <w:rsid w:val="00FC47D7"/>
    <w:rsid w:val="00FC5501"/>
    <w:rsid w:val="00FC609B"/>
    <w:rsid w:val="00FC6AEA"/>
    <w:rsid w:val="00FC747A"/>
    <w:rsid w:val="00FD2D3A"/>
    <w:rsid w:val="00FD37C4"/>
    <w:rsid w:val="00FD3ECC"/>
    <w:rsid w:val="00FD5581"/>
    <w:rsid w:val="00FD57E5"/>
    <w:rsid w:val="00FD5A8F"/>
    <w:rsid w:val="00FD6028"/>
    <w:rsid w:val="00FD6615"/>
    <w:rsid w:val="00FD7AA5"/>
    <w:rsid w:val="00FD7CF7"/>
    <w:rsid w:val="00FD7E0F"/>
    <w:rsid w:val="00FE003A"/>
    <w:rsid w:val="00FE0AAD"/>
    <w:rsid w:val="00FE12E4"/>
    <w:rsid w:val="00FE1CB9"/>
    <w:rsid w:val="00FE23A9"/>
    <w:rsid w:val="00FE3C24"/>
    <w:rsid w:val="00FE4D3D"/>
    <w:rsid w:val="00FF194E"/>
    <w:rsid w:val="00FF437B"/>
    <w:rsid w:val="00FF4ED2"/>
    <w:rsid w:val="00FF5B8C"/>
    <w:rsid w:val="00FF6167"/>
    <w:rsid w:val="00FF62CB"/>
    <w:rsid w:val="00FF6EB1"/>
    <w:rsid w:val="00FF7185"/>
    <w:rsid w:val="00FF719D"/>
    <w:rsid w:val="00FF730D"/>
    <w:rsid w:val="00FF7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5BA05"/>
  <w15:docId w15:val="{748BFFDA-97AC-4945-94E1-1B1CAC6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7BC5"/>
    <w:pPr>
      <w:suppressAutoHyphens/>
    </w:pPr>
    <w:rPr>
      <w:sz w:val="24"/>
    </w:rPr>
  </w:style>
  <w:style w:type="paragraph" w:styleId="Nagwek1">
    <w:name w:val="heading 1"/>
    <w:basedOn w:val="Normalny"/>
    <w:next w:val="Normalny"/>
    <w:link w:val="Nagwek1Znak"/>
    <w:qFormat/>
    <w:rsid w:val="00743902"/>
    <w:pPr>
      <w:keepNext/>
      <w:numPr>
        <w:numId w:val="12"/>
      </w:numPr>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7511A4"/>
    <w:pPr>
      <w:keepNext/>
      <w:numPr>
        <w:ilvl w:val="1"/>
        <w:numId w:val="12"/>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7511A4"/>
    <w:pPr>
      <w:keepNext/>
      <w:numPr>
        <w:ilvl w:val="2"/>
        <w:numId w:val="12"/>
      </w:numPr>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7511A4"/>
    <w:pPr>
      <w:keepNext/>
      <w:numPr>
        <w:ilvl w:val="3"/>
        <w:numId w:val="12"/>
      </w:numPr>
      <w:spacing w:before="240" w:after="60"/>
      <w:outlineLvl w:val="3"/>
    </w:pPr>
    <w:rPr>
      <w:b/>
      <w:bCs/>
      <w:sz w:val="28"/>
      <w:szCs w:val="28"/>
      <w:lang w:val="x-none"/>
    </w:rPr>
  </w:style>
  <w:style w:type="paragraph" w:styleId="Nagwek5">
    <w:name w:val="heading 5"/>
    <w:basedOn w:val="Normalny"/>
    <w:next w:val="Normalny"/>
    <w:link w:val="Nagwek5Znak"/>
    <w:qFormat/>
    <w:rsid w:val="007511A4"/>
    <w:pPr>
      <w:numPr>
        <w:ilvl w:val="4"/>
        <w:numId w:val="12"/>
      </w:numPr>
      <w:spacing w:before="240" w:after="60"/>
      <w:outlineLvl w:val="4"/>
    </w:pPr>
    <w:rPr>
      <w:b/>
      <w:bCs/>
      <w:i/>
      <w:iCs/>
      <w:sz w:val="26"/>
      <w:szCs w:val="26"/>
      <w:lang w:val="x-none"/>
    </w:rPr>
  </w:style>
  <w:style w:type="paragraph" w:styleId="Nagwek6">
    <w:name w:val="heading 6"/>
    <w:basedOn w:val="Normalny"/>
    <w:next w:val="Normalny"/>
    <w:link w:val="Nagwek6Znak"/>
    <w:qFormat/>
    <w:rsid w:val="007511A4"/>
    <w:pPr>
      <w:numPr>
        <w:ilvl w:val="5"/>
        <w:numId w:val="12"/>
      </w:numPr>
      <w:spacing w:before="240" w:after="60"/>
      <w:outlineLvl w:val="5"/>
    </w:pPr>
    <w:rPr>
      <w:b/>
      <w:bCs/>
      <w:sz w:val="22"/>
      <w:szCs w:val="22"/>
      <w:lang w:val="x-none"/>
    </w:rPr>
  </w:style>
  <w:style w:type="paragraph" w:styleId="Nagwek7">
    <w:name w:val="heading 7"/>
    <w:basedOn w:val="Normalny"/>
    <w:next w:val="Normalny"/>
    <w:link w:val="Nagwek7Znak"/>
    <w:qFormat/>
    <w:rsid w:val="007511A4"/>
    <w:pPr>
      <w:numPr>
        <w:ilvl w:val="6"/>
        <w:numId w:val="12"/>
      </w:numPr>
      <w:spacing w:before="240" w:after="60"/>
      <w:outlineLvl w:val="6"/>
    </w:pPr>
    <w:rPr>
      <w:szCs w:val="24"/>
      <w:lang w:val="x-none"/>
    </w:rPr>
  </w:style>
  <w:style w:type="paragraph" w:styleId="Nagwek8">
    <w:name w:val="heading 8"/>
    <w:basedOn w:val="Normalny"/>
    <w:next w:val="Normalny"/>
    <w:link w:val="Nagwek8Znak"/>
    <w:qFormat/>
    <w:rsid w:val="007511A4"/>
    <w:pPr>
      <w:numPr>
        <w:ilvl w:val="7"/>
        <w:numId w:val="12"/>
      </w:numPr>
      <w:spacing w:before="240" w:after="60"/>
      <w:outlineLvl w:val="7"/>
    </w:pPr>
    <w:rPr>
      <w:i/>
      <w:iCs/>
      <w:szCs w:val="24"/>
      <w:lang w:val="x-none"/>
    </w:rPr>
  </w:style>
  <w:style w:type="paragraph" w:styleId="Nagwek9">
    <w:name w:val="heading 9"/>
    <w:basedOn w:val="Normalny"/>
    <w:next w:val="Normalny"/>
    <w:link w:val="Nagwek9Znak"/>
    <w:qFormat/>
    <w:rsid w:val="007511A4"/>
    <w:pPr>
      <w:numPr>
        <w:ilvl w:val="8"/>
        <w:numId w:val="12"/>
      </w:num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7511A4"/>
    <w:pPr>
      <w:suppressAutoHyphens w:val="0"/>
    </w:pPr>
    <w:rPr>
      <w:szCs w:val="24"/>
    </w:rPr>
  </w:style>
  <w:style w:type="paragraph" w:styleId="Stopka">
    <w:name w:val="footer"/>
    <w:basedOn w:val="Normalny"/>
    <w:link w:val="StopkaZnak"/>
    <w:uiPriority w:val="99"/>
    <w:rsid w:val="007511A4"/>
    <w:pPr>
      <w:tabs>
        <w:tab w:val="center" w:pos="4536"/>
        <w:tab w:val="right" w:pos="9072"/>
      </w:tabs>
    </w:pPr>
  </w:style>
  <w:style w:type="character" w:styleId="Numerstrony">
    <w:name w:val="page number"/>
    <w:basedOn w:val="Domylnaczcionkaakapitu"/>
    <w:rsid w:val="007511A4"/>
  </w:style>
  <w:style w:type="paragraph" w:styleId="Tekstpodstawowy3">
    <w:name w:val="Body Text 3"/>
    <w:basedOn w:val="Normalny"/>
    <w:rsid w:val="007511A4"/>
    <w:pPr>
      <w:autoSpaceDE w:val="0"/>
      <w:autoSpaceDN w:val="0"/>
      <w:adjustRightInd w:val="0"/>
      <w:spacing w:line="360" w:lineRule="auto"/>
      <w:jc w:val="both"/>
    </w:pPr>
    <w:rPr>
      <w:b/>
      <w:bCs/>
    </w:rPr>
  </w:style>
  <w:style w:type="paragraph" w:styleId="Nagwek">
    <w:name w:val="header"/>
    <w:basedOn w:val="Normalny"/>
    <w:link w:val="NagwekZnak"/>
    <w:rsid w:val="007511A4"/>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C"/>
    <w:basedOn w:val="Normalny"/>
    <w:link w:val="TekstprzypisudolnegoZnak"/>
    <w:autoRedefine/>
    <w:qFormat/>
    <w:rsid w:val="00316531"/>
    <w:pPr>
      <w:suppressAutoHyphens w:val="0"/>
      <w:spacing w:before="40" w:after="120"/>
    </w:pPr>
    <w:rPr>
      <w:rFonts w:ascii="Calibri" w:hAnsi="Calibri"/>
      <w:sz w:val="18"/>
      <w:lang w:val="x-none"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511A4"/>
    <w:rPr>
      <w:vertAlign w:val="superscript"/>
    </w:rPr>
  </w:style>
  <w:style w:type="paragraph" w:styleId="Tekstpodstawowy2">
    <w:name w:val="Body Text 2"/>
    <w:basedOn w:val="Normalny"/>
    <w:link w:val="Tekstpodstawowy2Znak"/>
    <w:rsid w:val="007511A4"/>
    <w:pPr>
      <w:suppressAutoHyphens w:val="0"/>
      <w:spacing w:after="120" w:line="480" w:lineRule="auto"/>
    </w:pPr>
    <w:rPr>
      <w:szCs w:val="24"/>
    </w:rPr>
  </w:style>
  <w:style w:type="character" w:styleId="Hipercze">
    <w:name w:val="Hyperlink"/>
    <w:uiPriority w:val="99"/>
    <w:rsid w:val="007511A4"/>
    <w:rPr>
      <w:color w:val="0000FF"/>
      <w:u w:val="single"/>
    </w:rPr>
  </w:style>
  <w:style w:type="paragraph" w:styleId="NormalnyWeb">
    <w:name w:val="Normal (Web)"/>
    <w:basedOn w:val="Normalny"/>
    <w:uiPriority w:val="99"/>
    <w:rsid w:val="007511A4"/>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7511A4"/>
    <w:rPr>
      <w:b/>
      <w:bCs/>
    </w:rPr>
  </w:style>
  <w:style w:type="paragraph" w:customStyle="1" w:styleId="ZnakZnakZnakZnakZnakZnakZnak">
    <w:name w:val="Znak Znak Znak Znak Znak Znak Znak"/>
    <w:basedOn w:val="Normalny"/>
    <w:rsid w:val="007511A4"/>
    <w:pPr>
      <w:suppressAutoHyphens w:val="0"/>
    </w:pPr>
    <w:rPr>
      <w:szCs w:val="24"/>
    </w:rPr>
  </w:style>
  <w:style w:type="paragraph" w:customStyle="1" w:styleId="ZnakZnakZnakZnakZnakZnakZnak0">
    <w:name w:val="Znak Znak Znak Znak Znak Znak Znak"/>
    <w:basedOn w:val="Normalny"/>
    <w:rsid w:val="007511A4"/>
    <w:pPr>
      <w:suppressAutoHyphens w:val="0"/>
    </w:pPr>
    <w:rPr>
      <w:szCs w:val="24"/>
    </w:rPr>
  </w:style>
  <w:style w:type="paragraph" w:customStyle="1" w:styleId="Akapit">
    <w:name w:val="Akapit"/>
    <w:basedOn w:val="Nagwek6"/>
    <w:rsid w:val="00743902"/>
    <w:pPr>
      <w:keepNext/>
      <w:numPr>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link w:val="TekstdymkaZnak"/>
    <w:semiHidden/>
    <w:rsid w:val="007511A4"/>
    <w:rPr>
      <w:rFonts w:ascii="Tahoma" w:hAnsi="Tahoma"/>
      <w:sz w:val="16"/>
      <w:szCs w:val="16"/>
      <w:lang w:val="x-none"/>
    </w:rPr>
  </w:style>
  <w:style w:type="paragraph" w:customStyle="1" w:styleId="WW-Tekstpodstawowy2">
    <w:name w:val="WW-Tekst podstawowy 2"/>
    <w:basedOn w:val="Normalny"/>
    <w:rsid w:val="007511A4"/>
    <w:pPr>
      <w:jc w:val="both"/>
    </w:pPr>
    <w:rPr>
      <w:sz w:val="22"/>
      <w:lang w:eastAsia="ar-SA"/>
    </w:rPr>
  </w:style>
  <w:style w:type="paragraph" w:styleId="Tekstpodstawowy">
    <w:name w:val="Body Text"/>
    <w:basedOn w:val="Normalny"/>
    <w:link w:val="TekstpodstawowyZnak"/>
    <w:rsid w:val="007511A4"/>
    <w:pPr>
      <w:suppressAutoHyphens w:val="0"/>
      <w:spacing w:after="120"/>
    </w:pPr>
    <w:rPr>
      <w:szCs w:val="24"/>
    </w:rPr>
  </w:style>
  <w:style w:type="character" w:customStyle="1" w:styleId="ZnakZnak">
    <w:name w:val="Znak Znak"/>
    <w:rsid w:val="007511A4"/>
    <w:rPr>
      <w:sz w:val="24"/>
      <w:szCs w:val="24"/>
      <w:lang w:val="pl-PL" w:eastAsia="pl-PL" w:bidi="ar-SA"/>
    </w:rPr>
  </w:style>
  <w:style w:type="paragraph" w:customStyle="1" w:styleId="Wcicie">
    <w:name w:val="Wcięcie"/>
    <w:basedOn w:val="Normalny"/>
    <w:rsid w:val="007511A4"/>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7511A4"/>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7511A4"/>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7511A4"/>
    <w:rPr>
      <w:lang w:val="pl-PL" w:eastAsia="pl-PL" w:bidi="ar-SA"/>
    </w:rPr>
  </w:style>
  <w:style w:type="character" w:styleId="Uwydatnienie">
    <w:name w:val="Emphasis"/>
    <w:uiPriority w:val="20"/>
    <w:qFormat/>
    <w:rsid w:val="007511A4"/>
    <w:rPr>
      <w:i/>
      <w:iCs/>
    </w:rPr>
  </w:style>
  <w:style w:type="character" w:styleId="UyteHipercze">
    <w:name w:val="FollowedHyperlink"/>
    <w:rsid w:val="007511A4"/>
    <w:rPr>
      <w:color w:val="800080"/>
      <w:u w:val="single"/>
    </w:rPr>
  </w:style>
  <w:style w:type="paragraph" w:styleId="Akapitzlist">
    <w:name w:val="List Paragraph"/>
    <w:basedOn w:val="Normalny"/>
    <w:link w:val="AkapitzlistZnak"/>
    <w:uiPriority w:val="34"/>
    <w:qFormat/>
    <w:rsid w:val="007511A4"/>
    <w:pPr>
      <w:suppressAutoHyphens w:val="0"/>
      <w:spacing w:after="200" w:line="276" w:lineRule="auto"/>
      <w:ind w:left="720"/>
    </w:pPr>
    <w:rPr>
      <w:rFonts w:ascii="Calibri" w:eastAsia="Calibri" w:hAnsi="Calibri"/>
      <w:sz w:val="22"/>
      <w:szCs w:val="22"/>
      <w:lang w:val="x-none" w:eastAsia="en-US"/>
    </w:rPr>
  </w:style>
  <w:style w:type="paragraph" w:styleId="Tekstpodstawowywcity">
    <w:name w:val="Body Text Indent"/>
    <w:basedOn w:val="Normalny"/>
    <w:link w:val="TekstpodstawowywcityZnak1"/>
    <w:rsid w:val="007511A4"/>
    <w:pPr>
      <w:spacing w:after="120" w:line="360" w:lineRule="auto"/>
      <w:ind w:firstLine="708"/>
      <w:jc w:val="both"/>
    </w:pPr>
    <w:rPr>
      <w:lang w:val="x-none"/>
    </w:rPr>
  </w:style>
  <w:style w:type="paragraph" w:styleId="Tekstpodstawowywcity2">
    <w:name w:val="Body Text Indent 2"/>
    <w:basedOn w:val="Normalny"/>
    <w:rsid w:val="007511A4"/>
    <w:pPr>
      <w:ind w:left="360" w:hanging="360"/>
    </w:pPr>
    <w:rPr>
      <w:b/>
    </w:rPr>
  </w:style>
  <w:style w:type="paragraph" w:styleId="Tekstpodstawowywcity3">
    <w:name w:val="Body Text Indent 3"/>
    <w:basedOn w:val="Normalny"/>
    <w:rsid w:val="007511A4"/>
    <w:pPr>
      <w:tabs>
        <w:tab w:val="left" w:pos="720"/>
      </w:tabs>
      <w:spacing w:after="120" w:line="360" w:lineRule="auto"/>
      <w:ind w:left="1980"/>
      <w:jc w:val="both"/>
    </w:pPr>
  </w:style>
  <w:style w:type="paragraph" w:styleId="Spistreci1">
    <w:name w:val="toc 1"/>
    <w:basedOn w:val="Normalny"/>
    <w:next w:val="Normalny"/>
    <w:autoRedefine/>
    <w:uiPriority w:val="39"/>
    <w:qFormat/>
    <w:rsid w:val="00847B0C"/>
    <w:pPr>
      <w:tabs>
        <w:tab w:val="left" w:pos="880"/>
        <w:tab w:val="right" w:leader="dot" w:pos="9062"/>
      </w:tabs>
    </w:pPr>
  </w:style>
  <w:style w:type="paragraph" w:styleId="Spistreci2">
    <w:name w:val="toc 2"/>
    <w:basedOn w:val="Normalny"/>
    <w:next w:val="Normalny"/>
    <w:autoRedefine/>
    <w:uiPriority w:val="39"/>
    <w:qFormat/>
    <w:rsid w:val="007511A4"/>
    <w:pPr>
      <w:ind w:left="240"/>
    </w:pPr>
  </w:style>
  <w:style w:type="paragraph" w:styleId="Spistreci3">
    <w:name w:val="toc 3"/>
    <w:basedOn w:val="Normalny"/>
    <w:next w:val="Normalny"/>
    <w:autoRedefine/>
    <w:uiPriority w:val="39"/>
    <w:qFormat/>
    <w:rsid w:val="005065C1"/>
    <w:pPr>
      <w:tabs>
        <w:tab w:val="left" w:pos="709"/>
        <w:tab w:val="left" w:leader="dot" w:pos="8789"/>
      </w:tabs>
      <w:spacing w:before="120" w:after="120" w:line="276" w:lineRule="auto"/>
      <w:ind w:left="709" w:right="-108" w:hanging="709"/>
      <w:jc w:val="both"/>
    </w:pPr>
    <w:rPr>
      <w:rFonts w:ascii="Calibri" w:hAnsi="Calibri"/>
      <w:b/>
      <w:noProof/>
    </w:rPr>
  </w:style>
  <w:style w:type="table" w:styleId="Tabela-Siatka">
    <w:name w:val="Table Grid"/>
    <w:basedOn w:val="Standardowy"/>
    <w:uiPriority w:val="59"/>
    <w:rsid w:val="0075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316531"/>
    <w:rPr>
      <w:rFonts w:ascii="Calibri" w:hAnsi="Calibri"/>
      <w:sz w:val="18"/>
      <w:lang w:val="x-none" w:eastAsia="x-none"/>
    </w:rPr>
  </w:style>
  <w:style w:type="character" w:customStyle="1" w:styleId="Nagwek2Znak">
    <w:name w:val="Nagłówek 2 Znak"/>
    <w:link w:val="Nagwek2"/>
    <w:rsid w:val="007511A4"/>
    <w:rPr>
      <w:rFonts w:ascii="Arial" w:hAnsi="Arial"/>
      <w:b/>
      <w:bCs/>
      <w:i/>
      <w:iCs/>
      <w:sz w:val="28"/>
      <w:szCs w:val="28"/>
      <w:lang w:val="x-none"/>
    </w:rPr>
  </w:style>
  <w:style w:type="character" w:customStyle="1" w:styleId="Nagwek4Znak">
    <w:name w:val="Nagłówek 4 Znak"/>
    <w:link w:val="Nagwek4"/>
    <w:rsid w:val="007511A4"/>
    <w:rPr>
      <w:b/>
      <w:bCs/>
      <w:sz w:val="28"/>
      <w:szCs w:val="28"/>
      <w:lang w:val="x-none"/>
    </w:rPr>
  </w:style>
  <w:style w:type="character" w:customStyle="1" w:styleId="Nagwek6Znak">
    <w:name w:val="Nagłówek 6 Znak"/>
    <w:link w:val="Nagwek6"/>
    <w:rsid w:val="007511A4"/>
    <w:rPr>
      <w:b/>
      <w:bCs/>
      <w:sz w:val="22"/>
      <w:szCs w:val="22"/>
      <w:lang w:val="x-none"/>
    </w:rPr>
  </w:style>
  <w:style w:type="character" w:customStyle="1" w:styleId="Nagwek7Znak">
    <w:name w:val="Nagłówek 7 Znak"/>
    <w:link w:val="Nagwek7"/>
    <w:rsid w:val="007511A4"/>
    <w:rPr>
      <w:sz w:val="24"/>
      <w:szCs w:val="24"/>
      <w:lang w:val="x-none"/>
    </w:rPr>
  </w:style>
  <w:style w:type="character" w:customStyle="1" w:styleId="ZnakZnak8">
    <w:name w:val="Znak Znak8"/>
    <w:rsid w:val="007511A4"/>
    <w:rPr>
      <w:rFonts w:ascii="Arial" w:eastAsia="Times New Roman" w:hAnsi="Arial" w:cs="Arial"/>
      <w:b/>
      <w:bCs/>
      <w:i/>
      <w:iCs/>
      <w:sz w:val="28"/>
      <w:szCs w:val="28"/>
    </w:rPr>
  </w:style>
  <w:style w:type="character" w:customStyle="1" w:styleId="Nagwek3Znak">
    <w:name w:val="Nagłówek 3 Znak"/>
    <w:link w:val="Nagwek3"/>
    <w:rsid w:val="007511A4"/>
    <w:rPr>
      <w:rFonts w:ascii="Arial" w:hAnsi="Arial"/>
      <w:b/>
      <w:bCs/>
      <w:sz w:val="26"/>
      <w:szCs w:val="26"/>
      <w:lang w:val="x-none"/>
    </w:rPr>
  </w:style>
  <w:style w:type="character" w:customStyle="1" w:styleId="ZnakZnak6">
    <w:name w:val="Znak Znak6"/>
    <w:rsid w:val="007511A4"/>
    <w:rPr>
      <w:rFonts w:ascii="Times New Roman" w:eastAsia="Times New Roman" w:hAnsi="Times New Roman" w:cs="Times New Roman"/>
      <w:b/>
      <w:bCs/>
      <w:sz w:val="28"/>
      <w:szCs w:val="28"/>
    </w:rPr>
  </w:style>
  <w:style w:type="character" w:customStyle="1" w:styleId="Nagwek5Znak">
    <w:name w:val="Nagłówek 5 Znak"/>
    <w:link w:val="Nagwek5"/>
    <w:rsid w:val="007511A4"/>
    <w:rPr>
      <w:b/>
      <w:bCs/>
      <w:i/>
      <w:iCs/>
      <w:sz w:val="26"/>
      <w:szCs w:val="26"/>
      <w:lang w:val="x-none"/>
    </w:rPr>
  </w:style>
  <w:style w:type="character" w:customStyle="1" w:styleId="StopkaZnak">
    <w:name w:val="Stopka Znak"/>
    <w:link w:val="Stopka"/>
    <w:uiPriority w:val="99"/>
    <w:rsid w:val="007511A4"/>
    <w:rPr>
      <w:sz w:val="24"/>
      <w:lang w:val="pl-PL" w:bidi="ar-SA"/>
    </w:rPr>
  </w:style>
  <w:style w:type="character" w:customStyle="1" w:styleId="NagwekZnak">
    <w:name w:val="Nagłówek Znak"/>
    <w:link w:val="Nagwek"/>
    <w:rsid w:val="007511A4"/>
    <w:rPr>
      <w:sz w:val="24"/>
      <w:lang w:val="pl-PL" w:bidi="ar-SA"/>
    </w:rPr>
  </w:style>
  <w:style w:type="numbering" w:styleId="1ai">
    <w:name w:val="Outline List 1"/>
    <w:aliases w:val="a / i"/>
    <w:basedOn w:val="Bezlisty"/>
    <w:rsid w:val="007511A4"/>
    <w:pPr>
      <w:numPr>
        <w:numId w:val="4"/>
      </w:numPr>
    </w:pPr>
  </w:style>
  <w:style w:type="character" w:customStyle="1" w:styleId="Tekstpodstawowy2Znak">
    <w:name w:val="Tekst podstawowy 2 Znak"/>
    <w:link w:val="Tekstpodstawowy2"/>
    <w:rsid w:val="007511A4"/>
    <w:rPr>
      <w:sz w:val="24"/>
      <w:szCs w:val="24"/>
      <w:lang w:val="pl-PL" w:bidi="ar-SA"/>
    </w:rPr>
  </w:style>
  <w:style w:type="character" w:customStyle="1" w:styleId="TekstpodstawowyZnak">
    <w:name w:val="Tekst podstawowy Znak"/>
    <w:link w:val="Tekstpodstawowy"/>
    <w:rsid w:val="007511A4"/>
    <w:rPr>
      <w:sz w:val="24"/>
      <w:szCs w:val="24"/>
      <w:lang w:val="pl-PL" w:bidi="ar-SA"/>
    </w:rPr>
  </w:style>
  <w:style w:type="paragraph" w:styleId="Tekstprzypisukocowego">
    <w:name w:val="endnote text"/>
    <w:basedOn w:val="Normalny"/>
    <w:link w:val="TekstprzypisukocowegoZnak"/>
    <w:rsid w:val="007511A4"/>
    <w:pPr>
      <w:suppressAutoHyphens w:val="0"/>
    </w:pPr>
    <w:rPr>
      <w:sz w:val="20"/>
    </w:rPr>
  </w:style>
  <w:style w:type="character" w:customStyle="1" w:styleId="TekstprzypisukocowegoZnak">
    <w:name w:val="Tekst przypisu końcowego Znak"/>
    <w:link w:val="Tekstprzypisukocowego"/>
    <w:rsid w:val="007511A4"/>
    <w:rPr>
      <w:lang w:val="pl-PL" w:eastAsia="pl-PL" w:bidi="ar-SA"/>
    </w:rPr>
  </w:style>
  <w:style w:type="character" w:styleId="Odwoanieprzypisukocowego">
    <w:name w:val="endnote reference"/>
    <w:rsid w:val="007511A4"/>
    <w:rPr>
      <w:vertAlign w:val="superscript"/>
    </w:rPr>
  </w:style>
  <w:style w:type="paragraph" w:customStyle="1" w:styleId="ZnakZnakZnakZnak">
    <w:name w:val="Znak Znak Znak Znak"/>
    <w:basedOn w:val="Normalny"/>
    <w:rsid w:val="007511A4"/>
    <w:pPr>
      <w:suppressAutoHyphens w:val="0"/>
    </w:pPr>
    <w:rPr>
      <w:szCs w:val="24"/>
    </w:rPr>
  </w:style>
  <w:style w:type="character" w:customStyle="1" w:styleId="texhtml">
    <w:name w:val="texhtml"/>
    <w:basedOn w:val="Domylnaczcionkaakapitu"/>
    <w:rsid w:val="007511A4"/>
  </w:style>
  <w:style w:type="table" w:styleId="Tabela-Elegancki">
    <w:name w:val="Table Elegant"/>
    <w:basedOn w:val="Standardowy"/>
    <w:rsid w:val="007511A4"/>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7511A4"/>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7511A4"/>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7511A4"/>
    <w:pPr>
      <w:suppressAutoHyphens w:val="0"/>
      <w:spacing w:before="100" w:beforeAutospacing="1" w:after="100" w:afterAutospacing="1"/>
      <w:jc w:val="center"/>
      <w:textAlignment w:val="center"/>
    </w:pPr>
    <w:rPr>
      <w:szCs w:val="24"/>
    </w:rPr>
  </w:style>
  <w:style w:type="paragraph" w:customStyle="1" w:styleId="xl27">
    <w:name w:val="xl27"/>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7511A4"/>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7511A4"/>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7511A4"/>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7511A4"/>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7511A4"/>
    <w:pPr>
      <w:suppressAutoHyphens w:val="0"/>
      <w:spacing w:before="100" w:beforeAutospacing="1" w:after="100" w:afterAutospacing="1"/>
      <w:textAlignment w:val="center"/>
    </w:pPr>
    <w:rPr>
      <w:szCs w:val="24"/>
    </w:rPr>
  </w:style>
  <w:style w:type="paragraph" w:customStyle="1" w:styleId="xl34">
    <w:name w:val="xl34"/>
    <w:basedOn w:val="Normalny"/>
    <w:rsid w:val="007511A4"/>
    <w:pPr>
      <w:suppressAutoHyphens w:val="0"/>
      <w:spacing w:before="100" w:beforeAutospacing="1" w:after="100" w:afterAutospacing="1"/>
      <w:textAlignment w:val="center"/>
    </w:pPr>
    <w:rPr>
      <w:szCs w:val="24"/>
    </w:rPr>
  </w:style>
  <w:style w:type="paragraph" w:customStyle="1" w:styleId="xl35">
    <w:name w:val="xl35"/>
    <w:basedOn w:val="Normalny"/>
    <w:rsid w:val="007511A4"/>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7511A4"/>
    <w:pPr>
      <w:suppressAutoHyphens w:val="0"/>
      <w:spacing w:before="100" w:beforeAutospacing="1" w:after="100" w:afterAutospacing="1"/>
      <w:textAlignment w:val="center"/>
    </w:pPr>
    <w:rPr>
      <w:szCs w:val="24"/>
    </w:rPr>
  </w:style>
  <w:style w:type="paragraph" w:customStyle="1" w:styleId="xl37">
    <w:name w:val="xl37"/>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7511A4"/>
    <w:pPr>
      <w:suppressAutoHyphens w:val="0"/>
      <w:spacing w:before="100" w:beforeAutospacing="1" w:after="100" w:afterAutospacing="1"/>
      <w:textAlignment w:val="center"/>
    </w:pPr>
    <w:rPr>
      <w:b/>
      <w:bCs/>
      <w:szCs w:val="24"/>
    </w:rPr>
  </w:style>
  <w:style w:type="paragraph" w:customStyle="1" w:styleId="xl42">
    <w:name w:val="xl42"/>
    <w:basedOn w:val="Normalny"/>
    <w:rsid w:val="007511A4"/>
    <w:pPr>
      <w:suppressAutoHyphens w:val="0"/>
      <w:spacing w:before="100" w:beforeAutospacing="1" w:after="100" w:afterAutospacing="1"/>
      <w:jc w:val="center"/>
      <w:textAlignment w:val="center"/>
    </w:pPr>
    <w:rPr>
      <w:szCs w:val="24"/>
    </w:rPr>
  </w:style>
  <w:style w:type="paragraph" w:customStyle="1" w:styleId="xl43">
    <w:name w:val="xl43"/>
    <w:basedOn w:val="Normalny"/>
    <w:rsid w:val="007511A4"/>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7511A4"/>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7511A4"/>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7511A4"/>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7511A4"/>
    <w:pPr>
      <w:suppressAutoHyphens w:val="0"/>
      <w:spacing w:before="100" w:beforeAutospacing="1" w:after="100" w:afterAutospacing="1"/>
      <w:textAlignment w:val="center"/>
    </w:pPr>
    <w:rPr>
      <w:b/>
      <w:bCs/>
      <w:szCs w:val="24"/>
    </w:rPr>
  </w:style>
  <w:style w:type="paragraph" w:customStyle="1" w:styleId="xl53">
    <w:name w:val="xl53"/>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7511A4"/>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7511A4"/>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7511A4"/>
    <w:pPr>
      <w:suppressAutoHyphens w:val="0"/>
      <w:spacing w:before="100" w:beforeAutospacing="1" w:after="100" w:afterAutospacing="1"/>
      <w:textAlignment w:val="center"/>
    </w:pPr>
    <w:rPr>
      <w:sz w:val="14"/>
      <w:szCs w:val="14"/>
    </w:rPr>
  </w:style>
  <w:style w:type="paragraph" w:customStyle="1" w:styleId="xl61">
    <w:name w:val="xl61"/>
    <w:basedOn w:val="Normalny"/>
    <w:rsid w:val="007511A4"/>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7511A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7511A4"/>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7511A4"/>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7511A4"/>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7511A4"/>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7511A4"/>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7511A4"/>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7511A4"/>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7511A4"/>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7511A4"/>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7511A4"/>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7511A4"/>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7511A4"/>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7511A4"/>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7511A4"/>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7511A4"/>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7511A4"/>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7511A4"/>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7511A4"/>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7511A4"/>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7511A4"/>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7511A4"/>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7511A4"/>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7511A4"/>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7511A4"/>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7511A4"/>
    <w:pPr>
      <w:suppressAutoHyphens w:val="0"/>
      <w:spacing w:before="100" w:beforeAutospacing="1" w:after="100" w:afterAutospacing="1"/>
      <w:textAlignment w:val="center"/>
    </w:pPr>
    <w:rPr>
      <w:i/>
      <w:iCs/>
      <w:szCs w:val="24"/>
    </w:rPr>
  </w:style>
  <w:style w:type="paragraph" w:customStyle="1" w:styleId="xl110">
    <w:name w:val="xl110"/>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7511A4"/>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7511A4"/>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7511A4"/>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7511A4"/>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7511A4"/>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7511A4"/>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7511A4"/>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7511A4"/>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7511A4"/>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7511A4"/>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7511A4"/>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7511A4"/>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7511A4"/>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7511A4"/>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7511A4"/>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7511A4"/>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7511A4"/>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7511A4"/>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7511A4"/>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7511A4"/>
    <w:pPr>
      <w:suppressAutoHyphens w:val="0"/>
      <w:spacing w:before="100" w:beforeAutospacing="1" w:after="100" w:afterAutospacing="1"/>
      <w:textAlignment w:val="center"/>
    </w:pPr>
    <w:rPr>
      <w:b/>
      <w:bCs/>
      <w:szCs w:val="24"/>
    </w:rPr>
  </w:style>
  <w:style w:type="paragraph" w:customStyle="1" w:styleId="xl142">
    <w:name w:val="xl142"/>
    <w:basedOn w:val="Normalny"/>
    <w:rsid w:val="007511A4"/>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7511A4"/>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7511A4"/>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7511A4"/>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7511A4"/>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7511A4"/>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7511A4"/>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7511A4"/>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7511A4"/>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7511A4"/>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7511A4"/>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7511A4"/>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7511A4"/>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7511A4"/>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7511A4"/>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7511A4"/>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7511A4"/>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7511A4"/>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7511A4"/>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7511A4"/>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7511A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7511A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7511A4"/>
    <w:pPr>
      <w:autoSpaceDE w:val="0"/>
      <w:autoSpaceDN w:val="0"/>
      <w:adjustRightInd w:val="0"/>
    </w:pPr>
    <w:rPr>
      <w:color w:val="000000"/>
      <w:sz w:val="24"/>
      <w:szCs w:val="24"/>
    </w:rPr>
  </w:style>
  <w:style w:type="paragraph" w:customStyle="1" w:styleId="SOP-tekst">
    <w:name w:val="SOP-tekst"/>
    <w:basedOn w:val="Normalny"/>
    <w:rsid w:val="007511A4"/>
    <w:pPr>
      <w:widowControl w:val="0"/>
      <w:suppressAutoHyphens w:val="0"/>
      <w:spacing w:before="240"/>
      <w:jc w:val="both"/>
    </w:pPr>
    <w:rPr>
      <w:rFonts w:ascii="Arial" w:hAnsi="Arial" w:cs="Arial"/>
      <w:szCs w:val="24"/>
    </w:rPr>
  </w:style>
  <w:style w:type="paragraph" w:customStyle="1" w:styleId="tabela">
    <w:name w:val="tabela"/>
    <w:basedOn w:val="Normalny"/>
    <w:rsid w:val="007511A4"/>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7511A4"/>
    <w:pPr>
      <w:suppressAutoHyphens w:val="0"/>
      <w:jc w:val="center"/>
    </w:pPr>
    <w:rPr>
      <w:rFonts w:ascii="Arial" w:hAnsi="Arial" w:cs="Arial"/>
      <w:caps/>
      <w:sz w:val="22"/>
      <w:szCs w:val="22"/>
      <w:lang w:val="fr-FR" w:eastAsia="en-US"/>
    </w:rPr>
  </w:style>
  <w:style w:type="paragraph" w:styleId="Mapadokumentu">
    <w:name w:val="Document Map"/>
    <w:basedOn w:val="Normalny"/>
    <w:link w:val="MapadokumentuZnak"/>
    <w:rsid w:val="007511A4"/>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
    <w:rsid w:val="007511A4"/>
    <w:rPr>
      <w:rFonts w:ascii="Tahoma" w:hAnsi="Tahoma" w:cs="Tahoma"/>
      <w:sz w:val="24"/>
      <w:shd w:val="clear" w:color="auto" w:fill="000080"/>
      <w:lang w:val="pl-PL" w:bidi="ar-SA"/>
    </w:rPr>
  </w:style>
  <w:style w:type="paragraph" w:styleId="Spistreci4">
    <w:name w:val="toc 4"/>
    <w:basedOn w:val="Normalny"/>
    <w:next w:val="Normalny"/>
    <w:autoRedefine/>
    <w:unhideWhenUsed/>
    <w:rsid w:val="007511A4"/>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7511A4"/>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7511A4"/>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7511A4"/>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7511A4"/>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7511A4"/>
    <w:pPr>
      <w:suppressAutoHyphens w:val="0"/>
      <w:spacing w:after="100" w:line="276" w:lineRule="auto"/>
      <w:ind w:left="1760"/>
    </w:pPr>
    <w:rPr>
      <w:rFonts w:ascii="Calibri" w:hAnsi="Calibri"/>
      <w:sz w:val="22"/>
      <w:szCs w:val="22"/>
    </w:rPr>
  </w:style>
  <w:style w:type="character" w:styleId="Odwoaniedokomentarza">
    <w:name w:val="annotation reference"/>
    <w:rsid w:val="00686ED4"/>
    <w:rPr>
      <w:sz w:val="16"/>
      <w:szCs w:val="16"/>
    </w:rPr>
  </w:style>
  <w:style w:type="paragraph" w:styleId="Tekstkomentarza">
    <w:name w:val="annotation text"/>
    <w:basedOn w:val="Normalny"/>
    <w:link w:val="TekstkomentarzaZnak"/>
    <w:rsid w:val="00686ED4"/>
    <w:rPr>
      <w:sz w:val="20"/>
      <w:lang w:val="x-none"/>
    </w:rPr>
  </w:style>
  <w:style w:type="paragraph" w:styleId="Tematkomentarza">
    <w:name w:val="annotation subject"/>
    <w:basedOn w:val="Tekstkomentarza"/>
    <w:next w:val="Tekstkomentarza"/>
    <w:link w:val="TematkomentarzaZnak"/>
    <w:semiHidden/>
    <w:rsid w:val="00686ED4"/>
    <w:rPr>
      <w:b/>
      <w:bCs/>
    </w:rPr>
  </w:style>
  <w:style w:type="paragraph" w:styleId="Poprawka">
    <w:name w:val="Revision"/>
    <w:hidden/>
    <w:uiPriority w:val="99"/>
    <w:semiHidden/>
    <w:rsid w:val="00AD26A2"/>
    <w:rPr>
      <w:sz w:val="24"/>
    </w:rPr>
  </w:style>
  <w:style w:type="paragraph" w:customStyle="1" w:styleId="celp">
    <w:name w:val="cel_p"/>
    <w:basedOn w:val="Normalny"/>
    <w:rsid w:val="00E10676"/>
    <w:pPr>
      <w:suppressAutoHyphens w:val="0"/>
      <w:spacing w:after="15"/>
      <w:ind w:left="15" w:right="15"/>
      <w:jc w:val="both"/>
      <w:textAlignment w:val="top"/>
    </w:pPr>
    <w:rPr>
      <w:szCs w:val="24"/>
    </w:rPr>
  </w:style>
  <w:style w:type="paragraph" w:styleId="Tekstblokowy">
    <w:name w:val="Block Text"/>
    <w:basedOn w:val="Normalny"/>
    <w:rsid w:val="0053175A"/>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F7784D"/>
    <w:pPr>
      <w:numPr>
        <w:numId w:val="9"/>
      </w:numPr>
    </w:pPr>
  </w:style>
  <w:style w:type="numbering" w:customStyle="1" w:styleId="Biecalista1">
    <w:name w:val="Bieżąca lista1"/>
    <w:rsid w:val="009720BE"/>
    <w:pPr>
      <w:numPr>
        <w:numId w:val="10"/>
      </w:numPr>
    </w:pPr>
  </w:style>
  <w:style w:type="character" w:customStyle="1" w:styleId="Nagwek1Znak">
    <w:name w:val="Nagłówek 1 Znak"/>
    <w:link w:val="Nagwek1"/>
    <w:rsid w:val="00016BEE"/>
    <w:rPr>
      <w:rFonts w:ascii="Arial" w:hAnsi="Arial"/>
      <w:b/>
      <w:bCs/>
      <w:kern w:val="32"/>
      <w:sz w:val="32"/>
      <w:szCs w:val="32"/>
      <w:lang w:val="x-none"/>
    </w:rPr>
  </w:style>
  <w:style w:type="paragraph" w:customStyle="1" w:styleId="Znak0">
    <w:name w:val="Znak"/>
    <w:basedOn w:val="Normalny"/>
    <w:rsid w:val="00743902"/>
    <w:pPr>
      <w:suppressAutoHyphens w:val="0"/>
    </w:pPr>
    <w:rPr>
      <w:szCs w:val="24"/>
    </w:rPr>
  </w:style>
  <w:style w:type="character" w:customStyle="1" w:styleId="ZnakZnak0">
    <w:name w:val="Znak Znak"/>
    <w:rsid w:val="00743902"/>
    <w:rPr>
      <w:sz w:val="24"/>
      <w:szCs w:val="24"/>
      <w:lang w:val="pl-PL" w:eastAsia="pl-PL" w:bidi="ar-SA"/>
    </w:rPr>
  </w:style>
  <w:style w:type="paragraph" w:customStyle="1" w:styleId="Tekstpodstawowy210">
    <w:name w:val="Tekst podstawowy 21"/>
    <w:basedOn w:val="Normalny"/>
    <w:rsid w:val="00743902"/>
    <w:pPr>
      <w:jc w:val="both"/>
    </w:pPr>
  </w:style>
  <w:style w:type="character" w:customStyle="1" w:styleId="ZnakZnak80">
    <w:name w:val="Znak Znak8"/>
    <w:rsid w:val="00743902"/>
    <w:rPr>
      <w:rFonts w:ascii="Arial" w:eastAsia="Times New Roman" w:hAnsi="Arial" w:cs="Arial"/>
      <w:b/>
      <w:bCs/>
      <w:i/>
      <w:iCs/>
      <w:sz w:val="28"/>
      <w:szCs w:val="28"/>
    </w:rPr>
  </w:style>
  <w:style w:type="character" w:customStyle="1" w:styleId="ZnakZnak60">
    <w:name w:val="Znak Znak6"/>
    <w:rsid w:val="00743902"/>
    <w:rPr>
      <w:rFonts w:ascii="Times New Roman" w:eastAsia="Times New Roman" w:hAnsi="Times New Roman" w:cs="Times New Roman"/>
      <w:b/>
      <w:bCs/>
      <w:sz w:val="28"/>
      <w:szCs w:val="28"/>
    </w:rPr>
  </w:style>
  <w:style w:type="paragraph" w:customStyle="1" w:styleId="ZnakZnakZnakZnak0">
    <w:name w:val="Znak Znak Znak Znak"/>
    <w:basedOn w:val="Normalny"/>
    <w:rsid w:val="00743902"/>
    <w:pPr>
      <w:suppressAutoHyphens w:val="0"/>
    </w:pPr>
    <w:rPr>
      <w:szCs w:val="24"/>
    </w:rPr>
  </w:style>
  <w:style w:type="numbering" w:customStyle="1" w:styleId="Bezlisty1">
    <w:name w:val="Bez listy1"/>
    <w:next w:val="Bezlisty"/>
    <w:semiHidden/>
    <w:unhideWhenUsed/>
    <w:rsid w:val="00762FA1"/>
  </w:style>
  <w:style w:type="character" w:customStyle="1" w:styleId="Nagwek8Znak">
    <w:name w:val="Nagłówek 8 Znak"/>
    <w:link w:val="Nagwek8"/>
    <w:rsid w:val="00762FA1"/>
    <w:rPr>
      <w:i/>
      <w:iCs/>
      <w:sz w:val="24"/>
      <w:szCs w:val="24"/>
      <w:lang w:val="x-none"/>
    </w:rPr>
  </w:style>
  <w:style w:type="character" w:customStyle="1" w:styleId="Nagwek9Znak">
    <w:name w:val="Nagłówek 9 Znak"/>
    <w:link w:val="Nagwek9"/>
    <w:rsid w:val="00762FA1"/>
    <w:rPr>
      <w:rFonts w:ascii="Arial" w:hAnsi="Arial"/>
      <w:sz w:val="22"/>
      <w:szCs w:val="22"/>
      <w:lang w:val="x-none" w:eastAsia="x-none"/>
    </w:rPr>
  </w:style>
  <w:style w:type="paragraph" w:customStyle="1" w:styleId="Tytuowa1">
    <w:name w:val="Tytułowa 1"/>
    <w:basedOn w:val="Tytu"/>
    <w:rsid w:val="00762FA1"/>
  </w:style>
  <w:style w:type="paragraph" w:styleId="Tytu">
    <w:name w:val="Title"/>
    <w:basedOn w:val="Normalny"/>
    <w:link w:val="TytuZnak"/>
    <w:qFormat/>
    <w:rsid w:val="00762FA1"/>
    <w:pPr>
      <w:suppressAutoHyphens w:val="0"/>
      <w:spacing w:before="240" w:after="60" w:line="360" w:lineRule="auto"/>
      <w:jc w:val="center"/>
      <w:outlineLvl w:val="0"/>
    </w:pPr>
    <w:rPr>
      <w:rFonts w:ascii="Arial" w:hAnsi="Arial"/>
      <w:b/>
      <w:bCs/>
      <w:kern w:val="28"/>
      <w:sz w:val="32"/>
      <w:szCs w:val="32"/>
      <w:lang w:val="x-none" w:eastAsia="x-none"/>
    </w:rPr>
  </w:style>
  <w:style w:type="character" w:customStyle="1" w:styleId="TytuZnak">
    <w:name w:val="Tytuł Znak"/>
    <w:link w:val="Tytu"/>
    <w:rsid w:val="00762FA1"/>
    <w:rPr>
      <w:rFonts w:ascii="Arial" w:hAnsi="Arial" w:cs="Arial"/>
      <w:b/>
      <w:bCs/>
      <w:kern w:val="28"/>
      <w:sz w:val="32"/>
      <w:szCs w:val="32"/>
    </w:rPr>
  </w:style>
  <w:style w:type="character" w:customStyle="1" w:styleId="TekstdymkaZnak">
    <w:name w:val="Tekst dymka Znak"/>
    <w:link w:val="Tekstdymka"/>
    <w:semiHidden/>
    <w:rsid w:val="00762FA1"/>
    <w:rPr>
      <w:rFonts w:ascii="Tahoma" w:hAnsi="Tahoma" w:cs="Tahoma"/>
      <w:sz w:val="16"/>
      <w:szCs w:val="16"/>
    </w:rPr>
  </w:style>
  <w:style w:type="character" w:customStyle="1" w:styleId="TekstkomentarzaZnak">
    <w:name w:val="Tekst komentarza Znak"/>
    <w:link w:val="Tekstkomentarza"/>
    <w:rsid w:val="00762FA1"/>
  </w:style>
  <w:style w:type="character" w:customStyle="1" w:styleId="TematkomentarzaZnak">
    <w:name w:val="Temat komentarza Znak"/>
    <w:link w:val="Tematkomentarza"/>
    <w:semiHidden/>
    <w:rsid w:val="00762FA1"/>
    <w:rPr>
      <w:b/>
      <w:bCs/>
    </w:rPr>
  </w:style>
  <w:style w:type="paragraph" w:styleId="Lista2">
    <w:name w:val="List 2"/>
    <w:basedOn w:val="Normalny"/>
    <w:rsid w:val="00762FA1"/>
    <w:pPr>
      <w:suppressAutoHyphens w:val="0"/>
      <w:spacing w:line="360" w:lineRule="auto"/>
      <w:ind w:left="566" w:hanging="283"/>
      <w:jc w:val="both"/>
    </w:pPr>
    <w:rPr>
      <w:rFonts w:ascii="Arial" w:hAnsi="Arial"/>
      <w:sz w:val="22"/>
      <w:szCs w:val="24"/>
    </w:rPr>
  </w:style>
  <w:style w:type="paragraph" w:styleId="Lista3">
    <w:name w:val="List 3"/>
    <w:basedOn w:val="Normalny"/>
    <w:rsid w:val="00762FA1"/>
    <w:pPr>
      <w:suppressAutoHyphens w:val="0"/>
      <w:spacing w:line="360" w:lineRule="auto"/>
      <w:ind w:left="849" w:hanging="283"/>
      <w:jc w:val="both"/>
    </w:pPr>
    <w:rPr>
      <w:rFonts w:ascii="Arial" w:hAnsi="Arial"/>
      <w:sz w:val="22"/>
      <w:szCs w:val="24"/>
    </w:rPr>
  </w:style>
  <w:style w:type="paragraph" w:styleId="Lista4">
    <w:name w:val="List 4"/>
    <w:basedOn w:val="Normalny"/>
    <w:rsid w:val="00762FA1"/>
    <w:pPr>
      <w:suppressAutoHyphens w:val="0"/>
      <w:spacing w:line="360" w:lineRule="auto"/>
      <w:ind w:left="1132" w:hanging="283"/>
      <w:jc w:val="both"/>
    </w:pPr>
    <w:rPr>
      <w:rFonts w:ascii="Arial" w:hAnsi="Arial"/>
      <w:sz w:val="22"/>
      <w:szCs w:val="24"/>
    </w:rPr>
  </w:style>
  <w:style w:type="paragraph" w:styleId="Lista-kontynuacja">
    <w:name w:val="List Continue"/>
    <w:basedOn w:val="Normalny"/>
    <w:rsid w:val="00762FA1"/>
    <w:pPr>
      <w:suppressAutoHyphens w:val="0"/>
      <w:spacing w:after="120" w:line="360" w:lineRule="auto"/>
      <w:ind w:left="283"/>
      <w:jc w:val="both"/>
    </w:pPr>
    <w:rPr>
      <w:rFonts w:ascii="Arial" w:hAnsi="Arial"/>
      <w:sz w:val="22"/>
      <w:szCs w:val="24"/>
    </w:rPr>
  </w:style>
  <w:style w:type="character" w:customStyle="1" w:styleId="TekstpodstawowywcityZnak">
    <w:name w:val="Tekst podstawowy wcięty Znak"/>
    <w:rsid w:val="00762FA1"/>
    <w:rPr>
      <w:rFonts w:ascii="Arial" w:hAnsi="Arial"/>
      <w:sz w:val="22"/>
      <w:szCs w:val="24"/>
    </w:rPr>
  </w:style>
  <w:style w:type="paragraph" w:styleId="Tekstpodstawowyzwciciem2">
    <w:name w:val="Body Text First Indent 2"/>
    <w:basedOn w:val="Tekstpodstawowywcity"/>
    <w:link w:val="Tekstpodstawowyzwciciem2Znak"/>
    <w:rsid w:val="00762FA1"/>
    <w:pPr>
      <w:suppressAutoHyphens w:val="0"/>
      <w:ind w:left="283" w:firstLine="210"/>
    </w:pPr>
    <w:rPr>
      <w:rFonts w:ascii="Arial" w:hAnsi="Arial"/>
      <w:sz w:val="22"/>
      <w:szCs w:val="24"/>
    </w:rPr>
  </w:style>
  <w:style w:type="character" w:customStyle="1" w:styleId="TekstpodstawowywcityZnak1">
    <w:name w:val="Tekst podstawowy wcięty Znak1"/>
    <w:link w:val="Tekstpodstawowywcity"/>
    <w:rsid w:val="00762FA1"/>
    <w:rPr>
      <w:sz w:val="24"/>
    </w:rPr>
  </w:style>
  <w:style w:type="character" w:customStyle="1" w:styleId="Tekstpodstawowyzwciciem2Znak">
    <w:name w:val="Tekst podstawowy z wcięciem 2 Znak"/>
    <w:link w:val="Tekstpodstawowyzwciciem2"/>
    <w:rsid w:val="00762FA1"/>
    <w:rPr>
      <w:rFonts w:ascii="Arial" w:hAnsi="Arial"/>
      <w:sz w:val="22"/>
      <w:szCs w:val="24"/>
    </w:rPr>
  </w:style>
  <w:style w:type="table" w:customStyle="1" w:styleId="Tabela-Siatka1">
    <w:name w:val="Tabela - Siatka1"/>
    <w:basedOn w:val="Standardowy"/>
    <w:next w:val="Tabela-Siatka"/>
    <w:uiPriority w:val="59"/>
    <w:rsid w:val="00762FA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ny"/>
    <w:semiHidden/>
    <w:rsid w:val="00762FA1"/>
    <w:pPr>
      <w:suppressAutoHyphens w:val="0"/>
    </w:pPr>
    <w:rPr>
      <w:rFonts w:ascii="Tahoma" w:eastAsia="MS Mincho" w:hAnsi="Tahoma" w:cs="Tahoma"/>
      <w:sz w:val="16"/>
      <w:szCs w:val="16"/>
      <w:lang w:val="en-GB" w:eastAsia="ja-JP"/>
    </w:rPr>
  </w:style>
  <w:style w:type="paragraph" w:customStyle="1" w:styleId="Car">
    <w:name w:val="Car"/>
    <w:basedOn w:val="Normalny"/>
    <w:rsid w:val="00762FA1"/>
    <w:pPr>
      <w:suppressAutoHyphens w:val="0"/>
      <w:spacing w:after="160" w:line="240" w:lineRule="exact"/>
    </w:pPr>
    <w:rPr>
      <w:rFonts w:ascii="Tahoma" w:hAnsi="Tahoma"/>
      <w:sz w:val="20"/>
      <w:lang w:val="en-US" w:eastAsia="en-US"/>
    </w:rPr>
  </w:style>
  <w:style w:type="paragraph" w:customStyle="1" w:styleId="RozdziaW">
    <w:name w:val="Rozdział W"/>
    <w:basedOn w:val="Nagwek1"/>
    <w:link w:val="RozdziaWZnak"/>
    <w:rsid w:val="00762FA1"/>
    <w:pPr>
      <w:numPr>
        <w:numId w:val="0"/>
      </w:numPr>
      <w:suppressAutoHyphens w:val="0"/>
      <w:spacing w:line="360" w:lineRule="auto"/>
      <w:ind w:left="2700"/>
      <w:jc w:val="both"/>
    </w:pPr>
    <w:rPr>
      <w:sz w:val="24"/>
      <w:lang w:eastAsia="x-none"/>
    </w:rPr>
  </w:style>
  <w:style w:type="paragraph" w:customStyle="1" w:styleId="PodrozdziaW">
    <w:name w:val="Podrozdział W"/>
    <w:basedOn w:val="Nagwek2"/>
    <w:link w:val="PodrozdziaWZnak"/>
    <w:rsid w:val="00762FA1"/>
    <w:pPr>
      <w:numPr>
        <w:ilvl w:val="0"/>
        <w:numId w:val="0"/>
      </w:numPr>
      <w:suppressAutoHyphens w:val="0"/>
      <w:spacing w:line="360" w:lineRule="auto"/>
      <w:jc w:val="center"/>
    </w:pPr>
    <w:rPr>
      <w:sz w:val="24"/>
      <w:szCs w:val="24"/>
      <w:lang w:eastAsia="x-none"/>
    </w:rPr>
  </w:style>
  <w:style w:type="paragraph" w:customStyle="1" w:styleId="PodPodrozdziaW">
    <w:name w:val="PodPodrozdział W"/>
    <w:basedOn w:val="Normalny"/>
    <w:rsid w:val="00762FA1"/>
    <w:pPr>
      <w:numPr>
        <w:ilvl w:val="1"/>
        <w:numId w:val="14"/>
      </w:numPr>
      <w:suppressAutoHyphens w:val="0"/>
      <w:autoSpaceDE w:val="0"/>
      <w:autoSpaceDN w:val="0"/>
      <w:adjustRightInd w:val="0"/>
    </w:pPr>
    <w:rPr>
      <w:rFonts w:ascii="Arial" w:hAnsi="Arial"/>
      <w:sz w:val="22"/>
      <w:szCs w:val="24"/>
    </w:rPr>
  </w:style>
  <w:style w:type="paragraph" w:customStyle="1" w:styleId="PodPodPodrozdziaW">
    <w:name w:val="PodPodPodrozdział W"/>
    <w:basedOn w:val="Normalny"/>
    <w:rsid w:val="00762FA1"/>
    <w:pPr>
      <w:numPr>
        <w:ilvl w:val="1"/>
        <w:numId w:val="13"/>
      </w:numPr>
      <w:suppressAutoHyphens w:val="0"/>
      <w:autoSpaceDE w:val="0"/>
      <w:autoSpaceDN w:val="0"/>
      <w:adjustRightInd w:val="0"/>
    </w:pPr>
    <w:rPr>
      <w:rFonts w:ascii="Arial" w:hAnsi="Arial"/>
      <w:sz w:val="22"/>
      <w:szCs w:val="24"/>
    </w:rPr>
  </w:style>
  <w:style w:type="paragraph" w:customStyle="1" w:styleId="PodxrozdziaW">
    <w:name w:val="Podxrozdział W"/>
    <w:basedOn w:val="Normalny"/>
    <w:rsid w:val="00762FA1"/>
    <w:pPr>
      <w:numPr>
        <w:ilvl w:val="2"/>
        <w:numId w:val="13"/>
      </w:numPr>
      <w:suppressAutoHyphens w:val="0"/>
      <w:autoSpaceDE w:val="0"/>
      <w:autoSpaceDN w:val="0"/>
      <w:adjustRightInd w:val="0"/>
    </w:pPr>
    <w:rPr>
      <w:rFonts w:ascii="Arial" w:hAnsi="Arial"/>
      <w:sz w:val="22"/>
      <w:szCs w:val="24"/>
    </w:rPr>
  </w:style>
  <w:style w:type="paragraph" w:customStyle="1" w:styleId="PodyrozdziaW">
    <w:name w:val="Podyrozdział W"/>
    <w:basedOn w:val="Normalny"/>
    <w:rsid w:val="00762FA1"/>
    <w:pPr>
      <w:keepNext/>
      <w:keepLines/>
      <w:numPr>
        <w:ilvl w:val="3"/>
        <w:numId w:val="13"/>
      </w:numPr>
      <w:suppressAutoHyphens w:val="0"/>
      <w:autoSpaceDE w:val="0"/>
      <w:autoSpaceDN w:val="0"/>
      <w:adjustRightInd w:val="0"/>
    </w:pPr>
    <w:rPr>
      <w:rFonts w:ascii="Arial" w:hAnsi="Arial"/>
      <w:sz w:val="22"/>
      <w:szCs w:val="24"/>
    </w:rPr>
  </w:style>
  <w:style w:type="paragraph" w:customStyle="1" w:styleId="Style4">
    <w:name w:val="Style4"/>
    <w:basedOn w:val="Normalny"/>
    <w:rsid w:val="00762FA1"/>
    <w:pPr>
      <w:widowControl w:val="0"/>
      <w:suppressAutoHyphens w:val="0"/>
      <w:autoSpaceDE w:val="0"/>
      <w:autoSpaceDN w:val="0"/>
      <w:adjustRightInd w:val="0"/>
      <w:spacing w:line="323" w:lineRule="exact"/>
    </w:pPr>
    <w:rPr>
      <w:rFonts w:ascii="Arial Black" w:hAnsi="Arial Black"/>
      <w:szCs w:val="24"/>
    </w:rPr>
  </w:style>
  <w:style w:type="character" w:customStyle="1" w:styleId="FontStyle50">
    <w:name w:val="Font Style50"/>
    <w:rsid w:val="00762FA1"/>
    <w:rPr>
      <w:rFonts w:ascii="Times New Roman" w:hAnsi="Times New Roman" w:cs="Times New Roman"/>
      <w:b/>
      <w:bCs/>
      <w:sz w:val="26"/>
      <w:szCs w:val="26"/>
    </w:rPr>
  </w:style>
  <w:style w:type="paragraph" w:customStyle="1" w:styleId="Style42">
    <w:name w:val="Style42"/>
    <w:basedOn w:val="Normalny"/>
    <w:rsid w:val="00762FA1"/>
    <w:pPr>
      <w:widowControl w:val="0"/>
      <w:suppressAutoHyphens w:val="0"/>
      <w:autoSpaceDE w:val="0"/>
      <w:autoSpaceDN w:val="0"/>
      <w:adjustRightInd w:val="0"/>
      <w:spacing w:line="367" w:lineRule="exact"/>
    </w:pPr>
    <w:rPr>
      <w:rFonts w:ascii="Arial Black" w:hAnsi="Arial Black"/>
      <w:szCs w:val="24"/>
    </w:rPr>
  </w:style>
  <w:style w:type="character" w:customStyle="1" w:styleId="FontStyle62">
    <w:name w:val="Font Style62"/>
    <w:rsid w:val="00762FA1"/>
    <w:rPr>
      <w:rFonts w:ascii="Arial Unicode MS" w:eastAsia="Arial Unicode MS" w:cs="Arial Unicode MS"/>
      <w:b/>
      <w:bCs/>
      <w:sz w:val="32"/>
      <w:szCs w:val="32"/>
    </w:rPr>
  </w:style>
  <w:style w:type="paragraph" w:customStyle="1" w:styleId="Style30">
    <w:name w:val="Style30"/>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5">
    <w:name w:val="Font Style65"/>
    <w:rsid w:val="00762FA1"/>
    <w:rPr>
      <w:rFonts w:ascii="Times New Roman" w:hAnsi="Times New Roman" w:cs="Times New Roman"/>
      <w:b/>
      <w:bCs/>
      <w:sz w:val="22"/>
      <w:szCs w:val="22"/>
    </w:rPr>
  </w:style>
  <w:style w:type="paragraph" w:customStyle="1" w:styleId="Style5">
    <w:name w:val="Style5"/>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character" w:customStyle="1" w:styleId="FontStyle51">
    <w:name w:val="Font Style51"/>
    <w:rsid w:val="00762FA1"/>
    <w:rPr>
      <w:rFonts w:ascii="Times New Roman" w:hAnsi="Times New Roman" w:cs="Times New Roman"/>
      <w:i/>
      <w:iCs/>
      <w:sz w:val="22"/>
      <w:szCs w:val="22"/>
    </w:rPr>
  </w:style>
  <w:style w:type="character" w:customStyle="1" w:styleId="FontStyle66">
    <w:name w:val="Font Style66"/>
    <w:rsid w:val="00762FA1"/>
    <w:rPr>
      <w:rFonts w:ascii="Times New Roman" w:hAnsi="Times New Roman" w:cs="Times New Roman"/>
      <w:sz w:val="22"/>
      <w:szCs w:val="22"/>
    </w:rPr>
  </w:style>
  <w:style w:type="paragraph" w:customStyle="1" w:styleId="Style7">
    <w:name w:val="Style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7">
    <w:name w:val="Style1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0">
    <w:name w:val="Style20"/>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26">
    <w:name w:val="Style26"/>
    <w:basedOn w:val="Normalny"/>
    <w:rsid w:val="00762FA1"/>
    <w:pPr>
      <w:widowControl w:val="0"/>
      <w:suppressAutoHyphens w:val="0"/>
      <w:autoSpaceDE w:val="0"/>
      <w:autoSpaceDN w:val="0"/>
      <w:adjustRightInd w:val="0"/>
      <w:spacing w:line="300" w:lineRule="exact"/>
      <w:ind w:hanging="341"/>
      <w:jc w:val="both"/>
    </w:pPr>
    <w:rPr>
      <w:rFonts w:ascii="Arial Black" w:hAnsi="Arial Black"/>
      <w:szCs w:val="24"/>
    </w:rPr>
  </w:style>
  <w:style w:type="character" w:customStyle="1" w:styleId="FontStyle60">
    <w:name w:val="Font Style60"/>
    <w:rsid w:val="00762FA1"/>
    <w:rPr>
      <w:rFonts w:ascii="Times New Roman" w:hAnsi="Times New Roman" w:cs="Times New Roman"/>
      <w:sz w:val="18"/>
      <w:szCs w:val="18"/>
    </w:rPr>
  </w:style>
  <w:style w:type="character" w:customStyle="1" w:styleId="FontStyle61">
    <w:name w:val="Font Style61"/>
    <w:rsid w:val="00762FA1"/>
    <w:rPr>
      <w:rFonts w:ascii="Arial Unicode MS" w:eastAsia="Arial Unicode MS" w:cs="Arial Unicode MS"/>
      <w:b/>
      <w:bCs/>
      <w:sz w:val="20"/>
      <w:szCs w:val="20"/>
    </w:rPr>
  </w:style>
  <w:style w:type="paragraph" w:customStyle="1" w:styleId="Style16">
    <w:name w:val="Style16"/>
    <w:basedOn w:val="Normalny"/>
    <w:rsid w:val="00762FA1"/>
    <w:pPr>
      <w:widowControl w:val="0"/>
      <w:suppressAutoHyphens w:val="0"/>
      <w:autoSpaceDE w:val="0"/>
      <w:autoSpaceDN w:val="0"/>
      <w:adjustRightInd w:val="0"/>
      <w:spacing w:line="233" w:lineRule="exact"/>
    </w:pPr>
    <w:rPr>
      <w:rFonts w:ascii="Arial Black" w:hAnsi="Arial Black"/>
      <w:szCs w:val="24"/>
    </w:rPr>
  </w:style>
  <w:style w:type="paragraph" w:customStyle="1" w:styleId="Style24">
    <w:name w:val="Style24"/>
    <w:basedOn w:val="Normalny"/>
    <w:rsid w:val="00762FA1"/>
    <w:pPr>
      <w:widowControl w:val="0"/>
      <w:suppressAutoHyphens w:val="0"/>
      <w:autoSpaceDE w:val="0"/>
      <w:autoSpaceDN w:val="0"/>
      <w:adjustRightInd w:val="0"/>
      <w:spacing w:line="274" w:lineRule="exact"/>
      <w:ind w:hanging="360"/>
      <w:jc w:val="both"/>
    </w:pPr>
    <w:rPr>
      <w:rFonts w:ascii="Arial Black" w:hAnsi="Arial Black"/>
      <w:szCs w:val="24"/>
    </w:rPr>
  </w:style>
  <w:style w:type="paragraph" w:customStyle="1" w:styleId="Style37">
    <w:name w:val="Style37"/>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2">
    <w:name w:val="Font Style52"/>
    <w:rsid w:val="00762FA1"/>
    <w:rPr>
      <w:rFonts w:ascii="Times New Roman" w:hAnsi="Times New Roman" w:cs="Times New Roman"/>
      <w:i/>
      <w:iCs/>
      <w:sz w:val="18"/>
      <w:szCs w:val="18"/>
    </w:rPr>
  </w:style>
  <w:style w:type="paragraph" w:customStyle="1" w:styleId="Style25">
    <w:name w:val="Style25"/>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1">
    <w:name w:val="Style31"/>
    <w:basedOn w:val="Normalny"/>
    <w:rsid w:val="00762FA1"/>
    <w:pPr>
      <w:widowControl w:val="0"/>
      <w:suppressAutoHyphens w:val="0"/>
      <w:autoSpaceDE w:val="0"/>
      <w:autoSpaceDN w:val="0"/>
      <w:adjustRightInd w:val="0"/>
      <w:spacing w:line="418" w:lineRule="exact"/>
    </w:pPr>
    <w:rPr>
      <w:rFonts w:ascii="Arial Black" w:hAnsi="Arial Black"/>
      <w:szCs w:val="24"/>
    </w:rPr>
  </w:style>
  <w:style w:type="paragraph" w:customStyle="1" w:styleId="Style38">
    <w:name w:val="Style38"/>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0">
    <w:name w:val="Style40"/>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3">
    <w:name w:val="Style43"/>
    <w:basedOn w:val="Normalny"/>
    <w:rsid w:val="00762FA1"/>
    <w:pPr>
      <w:widowControl w:val="0"/>
      <w:suppressAutoHyphens w:val="0"/>
      <w:autoSpaceDE w:val="0"/>
      <w:autoSpaceDN w:val="0"/>
      <w:adjustRightInd w:val="0"/>
      <w:spacing w:line="300" w:lineRule="exact"/>
      <w:ind w:hanging="893"/>
    </w:pPr>
    <w:rPr>
      <w:rFonts w:ascii="Arial Black" w:hAnsi="Arial Black"/>
      <w:szCs w:val="24"/>
    </w:rPr>
  </w:style>
  <w:style w:type="character" w:customStyle="1" w:styleId="FontStyle57">
    <w:name w:val="Font Style57"/>
    <w:rsid w:val="00762FA1"/>
    <w:rPr>
      <w:rFonts w:ascii="Times New Roman" w:hAnsi="Times New Roman" w:cs="Times New Roman"/>
      <w:i/>
      <w:iCs/>
      <w:sz w:val="22"/>
      <w:szCs w:val="22"/>
    </w:rPr>
  </w:style>
  <w:style w:type="character" w:customStyle="1" w:styleId="FontStyle59">
    <w:name w:val="Font Style59"/>
    <w:rsid w:val="00762FA1"/>
    <w:rPr>
      <w:rFonts w:ascii="Times New Roman" w:hAnsi="Times New Roman" w:cs="Times New Roman"/>
      <w:i/>
      <w:iCs/>
      <w:sz w:val="14"/>
      <w:szCs w:val="14"/>
    </w:rPr>
  </w:style>
  <w:style w:type="paragraph" w:customStyle="1" w:styleId="Style6">
    <w:name w:val="Style6"/>
    <w:basedOn w:val="Normalny"/>
    <w:rsid w:val="00762FA1"/>
    <w:pPr>
      <w:widowControl w:val="0"/>
      <w:suppressAutoHyphens w:val="0"/>
      <w:autoSpaceDE w:val="0"/>
      <w:autoSpaceDN w:val="0"/>
      <w:adjustRightInd w:val="0"/>
      <w:spacing w:line="277" w:lineRule="exact"/>
      <w:jc w:val="both"/>
    </w:pPr>
    <w:rPr>
      <w:rFonts w:ascii="Arial Black" w:hAnsi="Arial Black"/>
      <w:szCs w:val="24"/>
    </w:rPr>
  </w:style>
  <w:style w:type="paragraph" w:customStyle="1" w:styleId="Style9">
    <w:name w:val="Style9"/>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4">
    <w:name w:val="Font Style54"/>
    <w:rsid w:val="00762FA1"/>
    <w:rPr>
      <w:rFonts w:ascii="Times New Roman" w:hAnsi="Times New Roman" w:cs="Times New Roman"/>
      <w:i/>
      <w:iCs/>
      <w:sz w:val="18"/>
      <w:szCs w:val="18"/>
    </w:rPr>
  </w:style>
  <w:style w:type="character" w:customStyle="1" w:styleId="FontStyle63">
    <w:name w:val="Font Style63"/>
    <w:rsid w:val="00762FA1"/>
    <w:rPr>
      <w:rFonts w:ascii="Times New Roman" w:hAnsi="Times New Roman" w:cs="Times New Roman"/>
      <w:sz w:val="18"/>
      <w:szCs w:val="18"/>
    </w:rPr>
  </w:style>
  <w:style w:type="character" w:customStyle="1" w:styleId="FontStyle69">
    <w:name w:val="Font Style69"/>
    <w:rsid w:val="00762FA1"/>
    <w:rPr>
      <w:rFonts w:ascii="Times New Roman" w:hAnsi="Times New Roman" w:cs="Times New Roman"/>
      <w:sz w:val="22"/>
      <w:szCs w:val="22"/>
    </w:rPr>
  </w:style>
  <w:style w:type="paragraph" w:customStyle="1" w:styleId="Style8">
    <w:name w:val="Style8"/>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paragraph" w:customStyle="1" w:styleId="Style11">
    <w:name w:val="Style11"/>
    <w:basedOn w:val="Normalny"/>
    <w:rsid w:val="00762FA1"/>
    <w:pPr>
      <w:widowControl w:val="0"/>
      <w:suppressAutoHyphens w:val="0"/>
      <w:autoSpaceDE w:val="0"/>
      <w:autoSpaceDN w:val="0"/>
      <w:adjustRightInd w:val="0"/>
      <w:spacing w:line="278" w:lineRule="exact"/>
      <w:ind w:hanging="350"/>
      <w:jc w:val="both"/>
    </w:pPr>
    <w:rPr>
      <w:rFonts w:ascii="Arial Black" w:hAnsi="Arial Black"/>
      <w:szCs w:val="24"/>
    </w:rPr>
  </w:style>
  <w:style w:type="paragraph" w:customStyle="1" w:styleId="Style12">
    <w:name w:val="Style12"/>
    <w:basedOn w:val="Normalny"/>
    <w:rsid w:val="00762FA1"/>
    <w:pPr>
      <w:widowControl w:val="0"/>
      <w:suppressAutoHyphens w:val="0"/>
      <w:autoSpaceDE w:val="0"/>
      <w:autoSpaceDN w:val="0"/>
      <w:adjustRightInd w:val="0"/>
      <w:jc w:val="right"/>
    </w:pPr>
    <w:rPr>
      <w:rFonts w:ascii="Arial Black" w:hAnsi="Arial Black"/>
      <w:szCs w:val="24"/>
    </w:rPr>
  </w:style>
  <w:style w:type="paragraph" w:customStyle="1" w:styleId="Style15">
    <w:name w:val="Style15"/>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8">
    <w:name w:val="Font Style68"/>
    <w:rsid w:val="00762FA1"/>
    <w:rPr>
      <w:rFonts w:ascii="Times New Roman" w:hAnsi="Times New Roman" w:cs="Times New Roman"/>
      <w:b/>
      <w:bCs/>
      <w:sz w:val="22"/>
      <w:szCs w:val="22"/>
    </w:rPr>
  </w:style>
  <w:style w:type="paragraph" w:customStyle="1" w:styleId="Style22">
    <w:name w:val="Style22"/>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3">
    <w:name w:val="Style23"/>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10">
    <w:name w:val="Style10"/>
    <w:basedOn w:val="Normalny"/>
    <w:rsid w:val="00762FA1"/>
    <w:pPr>
      <w:widowControl w:val="0"/>
      <w:suppressAutoHyphens w:val="0"/>
      <w:autoSpaceDE w:val="0"/>
      <w:autoSpaceDN w:val="0"/>
      <w:adjustRightInd w:val="0"/>
      <w:spacing w:line="250" w:lineRule="exact"/>
      <w:ind w:hanging="725"/>
    </w:pPr>
    <w:rPr>
      <w:rFonts w:ascii="Arial Black" w:hAnsi="Arial Black"/>
      <w:szCs w:val="24"/>
    </w:rPr>
  </w:style>
  <w:style w:type="paragraph" w:customStyle="1" w:styleId="Style41">
    <w:name w:val="Style41"/>
    <w:basedOn w:val="Normalny"/>
    <w:rsid w:val="00762FA1"/>
    <w:pPr>
      <w:widowControl w:val="0"/>
      <w:suppressAutoHyphens w:val="0"/>
      <w:autoSpaceDE w:val="0"/>
      <w:autoSpaceDN w:val="0"/>
      <w:adjustRightInd w:val="0"/>
      <w:spacing w:line="254" w:lineRule="exact"/>
      <w:ind w:firstLine="216"/>
    </w:pPr>
    <w:rPr>
      <w:rFonts w:ascii="Arial Black" w:hAnsi="Arial Black"/>
      <w:szCs w:val="24"/>
    </w:rPr>
  </w:style>
  <w:style w:type="paragraph" w:customStyle="1" w:styleId="Style44">
    <w:name w:val="Style44"/>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53">
    <w:name w:val="Font Style53"/>
    <w:rsid w:val="00762FA1"/>
    <w:rPr>
      <w:rFonts w:ascii="Times New Roman" w:hAnsi="Times New Roman" w:cs="Times New Roman"/>
      <w:i/>
      <w:iCs/>
      <w:sz w:val="22"/>
      <w:szCs w:val="22"/>
    </w:rPr>
  </w:style>
  <w:style w:type="paragraph" w:customStyle="1" w:styleId="Style28">
    <w:name w:val="Style28"/>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9">
    <w:name w:val="Style39"/>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9">
    <w:name w:val="Style19"/>
    <w:basedOn w:val="Normalny"/>
    <w:rsid w:val="00762FA1"/>
    <w:pPr>
      <w:widowControl w:val="0"/>
      <w:suppressAutoHyphens w:val="0"/>
      <w:autoSpaceDE w:val="0"/>
      <w:autoSpaceDN w:val="0"/>
      <w:adjustRightInd w:val="0"/>
    </w:pPr>
    <w:rPr>
      <w:rFonts w:ascii="Arial Black" w:hAnsi="Arial Black"/>
      <w:szCs w:val="24"/>
    </w:rPr>
  </w:style>
  <w:style w:type="paragraph" w:customStyle="1" w:styleId="PKTpunkt">
    <w:name w:val="PKT – punkt"/>
    <w:link w:val="PKTpunktZnak"/>
    <w:uiPriority w:val="16"/>
    <w:qFormat/>
    <w:rsid w:val="00762FA1"/>
    <w:pPr>
      <w:spacing w:line="360" w:lineRule="auto"/>
      <w:ind w:left="510" w:hanging="510"/>
      <w:jc w:val="both"/>
    </w:pPr>
    <w:rPr>
      <w:rFonts w:ascii="Times" w:hAnsi="Times"/>
      <w:bCs/>
      <w:sz w:val="24"/>
      <w:lang w:val="en-GB" w:eastAsia="en-GB"/>
    </w:rPr>
  </w:style>
  <w:style w:type="character" w:customStyle="1" w:styleId="PKTpunktZnak">
    <w:name w:val="PKT – punkt Znak"/>
    <w:link w:val="PKTpunkt"/>
    <w:uiPriority w:val="16"/>
    <w:locked/>
    <w:rsid w:val="00762FA1"/>
    <w:rPr>
      <w:rFonts w:ascii="Times" w:hAnsi="Times"/>
      <w:bCs/>
      <w:sz w:val="24"/>
      <w:lang w:val="en-GB" w:eastAsia="en-GB" w:bidi="ar-SA"/>
    </w:rPr>
  </w:style>
  <w:style w:type="paragraph" w:customStyle="1" w:styleId="CharChar2">
    <w:name w:val="Char Char2"/>
    <w:basedOn w:val="Normalny"/>
    <w:rsid w:val="00762FA1"/>
    <w:pPr>
      <w:suppressAutoHyphens w:val="0"/>
    </w:pPr>
    <w:rPr>
      <w:szCs w:val="24"/>
      <w:lang w:val="en-GB" w:eastAsia="en-US"/>
    </w:rPr>
  </w:style>
  <w:style w:type="character" w:customStyle="1" w:styleId="st">
    <w:name w:val="st"/>
    <w:rsid w:val="00762FA1"/>
  </w:style>
  <w:style w:type="paragraph" w:styleId="Nagwekspisutreci">
    <w:name w:val="TOC Heading"/>
    <w:basedOn w:val="Nagwek1"/>
    <w:next w:val="Normalny"/>
    <w:uiPriority w:val="39"/>
    <w:qFormat/>
    <w:rsid w:val="00762FA1"/>
    <w:pPr>
      <w:keepLines/>
      <w:numPr>
        <w:numId w:val="0"/>
      </w:numPr>
      <w:suppressAutoHyphens w:val="0"/>
      <w:spacing w:before="480" w:after="0" w:line="276" w:lineRule="auto"/>
      <w:outlineLvl w:val="9"/>
    </w:pPr>
    <w:rPr>
      <w:rFonts w:ascii="Cambria" w:hAnsi="Cambria"/>
      <w:color w:val="365F91"/>
      <w:kern w:val="0"/>
      <w:sz w:val="28"/>
      <w:szCs w:val="28"/>
      <w:lang w:val="pl-PL"/>
    </w:rPr>
  </w:style>
  <w:style w:type="paragraph" w:customStyle="1" w:styleId="ARTartustawynprozporzdzenia">
    <w:name w:val="ART(§) – art. ustawy (§ np. rozporządzenia)"/>
    <w:link w:val="ARTartustawynprozporzdzeniaZnak"/>
    <w:uiPriority w:val="14"/>
    <w:qFormat/>
    <w:rsid w:val="00762FA1"/>
    <w:pPr>
      <w:suppressAutoHyphens/>
      <w:autoSpaceDE w:val="0"/>
      <w:autoSpaceDN w:val="0"/>
      <w:adjustRightInd w:val="0"/>
      <w:spacing w:before="120" w:line="360" w:lineRule="auto"/>
      <w:ind w:firstLine="510"/>
      <w:jc w:val="both"/>
    </w:pPr>
    <w:rPr>
      <w:rFonts w:ascii="Times" w:hAnsi="Times"/>
      <w:sz w:val="24"/>
      <w:lang w:val="en-GB" w:eastAsia="en-GB"/>
    </w:rPr>
  </w:style>
  <w:style w:type="character" w:customStyle="1" w:styleId="ARTartustawynprozporzdzeniaZnak">
    <w:name w:val="ART(§) – art. ustawy (§ np. rozporządzenia) Znak"/>
    <w:link w:val="ARTartustawynprozporzdzenia"/>
    <w:uiPriority w:val="14"/>
    <w:locked/>
    <w:rsid w:val="00762FA1"/>
    <w:rPr>
      <w:rFonts w:ascii="Times" w:hAnsi="Times"/>
      <w:sz w:val="24"/>
      <w:lang w:val="en-GB" w:eastAsia="en-GB" w:bidi="ar-SA"/>
    </w:rPr>
  </w:style>
  <w:style w:type="paragraph" w:customStyle="1" w:styleId="USTustnpkodeksu">
    <w:name w:val="UST(§) – ust. (§ np. kodeksu)"/>
    <w:basedOn w:val="ARTartustawynprozporzdzenia"/>
    <w:link w:val="USTustnpkodeksuZnak"/>
    <w:uiPriority w:val="99"/>
    <w:qFormat/>
    <w:rsid w:val="00762FA1"/>
    <w:pPr>
      <w:spacing w:before="0"/>
    </w:pPr>
    <w:rPr>
      <w:bCs/>
      <w:lang w:val="x-none" w:eastAsia="x-none"/>
    </w:rPr>
  </w:style>
  <w:style w:type="character" w:customStyle="1" w:styleId="USTustnpkodeksuZnak">
    <w:name w:val="UST(§) – ust. (§ np. kodeksu) Znak"/>
    <w:link w:val="USTustnpkodeksu"/>
    <w:uiPriority w:val="99"/>
    <w:rsid w:val="00762FA1"/>
    <w:rPr>
      <w:rFonts w:ascii="Times" w:hAnsi="Times"/>
      <w:bCs/>
      <w:sz w:val="24"/>
      <w:lang w:val="x-none" w:eastAsia="x-none"/>
    </w:rPr>
  </w:style>
  <w:style w:type="paragraph" w:customStyle="1" w:styleId="Bullet0">
    <w:name w:val="Bullet 0"/>
    <w:basedOn w:val="Normalny"/>
    <w:rsid w:val="00762FA1"/>
    <w:pPr>
      <w:numPr>
        <w:numId w:val="15"/>
      </w:numPr>
      <w:suppressAutoHyphens w:val="0"/>
      <w:spacing w:before="120" w:after="120"/>
      <w:jc w:val="both"/>
    </w:pPr>
    <w:rPr>
      <w:rFonts w:eastAsia="Calibri"/>
      <w:lang w:val="en-GB" w:eastAsia="en-GB"/>
    </w:rPr>
  </w:style>
  <w:style w:type="paragraph" w:customStyle="1" w:styleId="Point0number">
    <w:name w:val="Point 0 (number)"/>
    <w:basedOn w:val="Normalny"/>
    <w:rsid w:val="00762FA1"/>
    <w:pPr>
      <w:numPr>
        <w:numId w:val="16"/>
      </w:numPr>
      <w:suppressAutoHyphens w:val="0"/>
      <w:spacing w:before="120" w:after="120"/>
      <w:jc w:val="both"/>
    </w:pPr>
    <w:rPr>
      <w:rFonts w:eastAsia="Calibri"/>
      <w:lang w:val="en-GB" w:eastAsia="en-GB"/>
    </w:rPr>
  </w:style>
  <w:style w:type="paragraph" w:customStyle="1" w:styleId="Point1number">
    <w:name w:val="Point 1 (number)"/>
    <w:basedOn w:val="Normalny"/>
    <w:rsid w:val="00762FA1"/>
    <w:pPr>
      <w:numPr>
        <w:ilvl w:val="2"/>
        <w:numId w:val="16"/>
      </w:numPr>
      <w:suppressAutoHyphens w:val="0"/>
      <w:spacing w:before="120" w:after="120"/>
      <w:jc w:val="both"/>
    </w:pPr>
    <w:rPr>
      <w:rFonts w:eastAsia="Calibri"/>
      <w:lang w:val="en-GB" w:eastAsia="en-GB"/>
    </w:rPr>
  </w:style>
  <w:style w:type="paragraph" w:customStyle="1" w:styleId="Point2number">
    <w:name w:val="Point 2 (number)"/>
    <w:basedOn w:val="Normalny"/>
    <w:rsid w:val="00762FA1"/>
    <w:pPr>
      <w:numPr>
        <w:ilvl w:val="4"/>
        <w:numId w:val="16"/>
      </w:numPr>
      <w:suppressAutoHyphens w:val="0"/>
      <w:spacing w:before="120" w:after="120"/>
      <w:jc w:val="both"/>
    </w:pPr>
    <w:rPr>
      <w:rFonts w:eastAsia="Calibri"/>
      <w:lang w:val="en-GB" w:eastAsia="en-GB"/>
    </w:rPr>
  </w:style>
  <w:style w:type="paragraph" w:customStyle="1" w:styleId="Point3number">
    <w:name w:val="Point 3 (number)"/>
    <w:basedOn w:val="Normalny"/>
    <w:rsid w:val="00762FA1"/>
    <w:pPr>
      <w:numPr>
        <w:ilvl w:val="6"/>
        <w:numId w:val="16"/>
      </w:numPr>
      <w:suppressAutoHyphens w:val="0"/>
      <w:spacing w:before="120" w:after="120"/>
      <w:jc w:val="both"/>
    </w:pPr>
    <w:rPr>
      <w:rFonts w:eastAsia="Calibri"/>
      <w:lang w:val="en-GB" w:eastAsia="en-GB"/>
    </w:rPr>
  </w:style>
  <w:style w:type="paragraph" w:customStyle="1" w:styleId="Point0letter">
    <w:name w:val="Point 0 (letter)"/>
    <w:basedOn w:val="Normalny"/>
    <w:rsid w:val="00762FA1"/>
    <w:pPr>
      <w:numPr>
        <w:ilvl w:val="1"/>
        <w:numId w:val="16"/>
      </w:numPr>
      <w:suppressAutoHyphens w:val="0"/>
      <w:spacing w:before="120" w:after="120"/>
      <w:jc w:val="both"/>
    </w:pPr>
    <w:rPr>
      <w:rFonts w:eastAsia="Calibri"/>
      <w:lang w:val="en-GB" w:eastAsia="en-GB"/>
    </w:rPr>
  </w:style>
  <w:style w:type="paragraph" w:customStyle="1" w:styleId="Point1letter">
    <w:name w:val="Point 1 (letter)"/>
    <w:basedOn w:val="Normalny"/>
    <w:rsid w:val="00762FA1"/>
    <w:pPr>
      <w:numPr>
        <w:ilvl w:val="3"/>
        <w:numId w:val="16"/>
      </w:numPr>
      <w:suppressAutoHyphens w:val="0"/>
      <w:spacing w:before="120" w:after="120"/>
      <w:jc w:val="both"/>
    </w:pPr>
    <w:rPr>
      <w:rFonts w:eastAsia="Calibri"/>
      <w:lang w:val="en-GB" w:eastAsia="en-GB"/>
    </w:rPr>
  </w:style>
  <w:style w:type="paragraph" w:customStyle="1" w:styleId="Point2letter">
    <w:name w:val="Point 2 (letter)"/>
    <w:basedOn w:val="Normalny"/>
    <w:rsid w:val="00762FA1"/>
    <w:pPr>
      <w:numPr>
        <w:ilvl w:val="5"/>
        <w:numId w:val="16"/>
      </w:numPr>
      <w:suppressAutoHyphens w:val="0"/>
      <w:spacing w:before="120" w:after="120"/>
      <w:jc w:val="both"/>
    </w:pPr>
    <w:rPr>
      <w:rFonts w:eastAsia="Calibri"/>
      <w:lang w:val="en-GB" w:eastAsia="en-GB"/>
    </w:rPr>
  </w:style>
  <w:style w:type="paragraph" w:customStyle="1" w:styleId="Point3letter">
    <w:name w:val="Point 3 (letter)"/>
    <w:basedOn w:val="Normalny"/>
    <w:rsid w:val="00762FA1"/>
    <w:pPr>
      <w:numPr>
        <w:ilvl w:val="7"/>
        <w:numId w:val="16"/>
      </w:numPr>
      <w:suppressAutoHyphens w:val="0"/>
      <w:spacing w:before="120" w:after="120"/>
      <w:jc w:val="both"/>
    </w:pPr>
    <w:rPr>
      <w:rFonts w:eastAsia="Calibri"/>
      <w:lang w:val="en-GB" w:eastAsia="en-GB"/>
    </w:rPr>
  </w:style>
  <w:style w:type="paragraph" w:customStyle="1" w:styleId="Point4letter">
    <w:name w:val="Point 4 (letter)"/>
    <w:basedOn w:val="Normalny"/>
    <w:rsid w:val="00762FA1"/>
    <w:pPr>
      <w:numPr>
        <w:ilvl w:val="8"/>
        <w:numId w:val="16"/>
      </w:numPr>
      <w:suppressAutoHyphens w:val="0"/>
      <w:spacing w:before="120" w:after="120"/>
      <w:jc w:val="both"/>
    </w:pPr>
    <w:rPr>
      <w:rFonts w:eastAsia="Calibri"/>
      <w:lang w:val="en-GB" w:eastAsia="en-GB"/>
    </w:rPr>
  </w:style>
  <w:style w:type="paragraph" w:customStyle="1" w:styleId="Point0">
    <w:name w:val="Point 0"/>
    <w:basedOn w:val="Normalny"/>
    <w:rsid w:val="00762FA1"/>
    <w:pPr>
      <w:suppressAutoHyphens w:val="0"/>
      <w:spacing w:before="120" w:after="120"/>
      <w:ind w:left="850" w:hanging="850"/>
      <w:jc w:val="both"/>
    </w:pPr>
    <w:rPr>
      <w:rFonts w:eastAsia="Calibri"/>
      <w:szCs w:val="22"/>
      <w:lang w:eastAsia="en-GB"/>
    </w:rPr>
  </w:style>
  <w:style w:type="paragraph" w:customStyle="1" w:styleId="Draftmaintext">
    <w:name w:val="Draft main text"/>
    <w:basedOn w:val="Normalny"/>
    <w:link w:val="DraftmaintextCarattere"/>
    <w:autoRedefine/>
    <w:qFormat/>
    <w:rsid w:val="00B144EB"/>
    <w:pPr>
      <w:widowControl w:val="0"/>
      <w:numPr>
        <w:numId w:val="70"/>
      </w:numPr>
      <w:suppressAutoHyphens w:val="0"/>
      <w:spacing w:before="120" w:after="120" w:line="276" w:lineRule="auto"/>
      <w:ind w:left="709" w:hanging="709"/>
    </w:pPr>
    <w:rPr>
      <w:rFonts w:asciiTheme="minorHAnsi" w:hAnsiTheme="minorHAnsi" w:cstheme="minorHAnsi"/>
      <w:szCs w:val="24"/>
      <w:lang w:val="en-GB" w:eastAsia="en-US"/>
    </w:rPr>
  </w:style>
  <w:style w:type="character" w:customStyle="1" w:styleId="DraftmaintextCarattere">
    <w:name w:val="Draft main text Carattere"/>
    <w:link w:val="Draftmaintext"/>
    <w:rsid w:val="00B144EB"/>
    <w:rPr>
      <w:rFonts w:asciiTheme="minorHAnsi" w:hAnsiTheme="minorHAnsi" w:cstheme="minorHAnsi"/>
      <w:sz w:val="24"/>
      <w:szCs w:val="24"/>
      <w:lang w:val="en-GB" w:eastAsia="en-US"/>
    </w:rPr>
  </w:style>
  <w:style w:type="character" w:customStyle="1" w:styleId="Teksttreci">
    <w:name w:val="Tekst treści_"/>
    <w:link w:val="Teksttreci0"/>
    <w:rsid w:val="00762FA1"/>
    <w:rPr>
      <w:rFonts w:ascii="Palatino Linotype" w:eastAsia="Palatino Linotype" w:hAnsi="Palatino Linotype" w:cs="Palatino Linotype"/>
      <w:sz w:val="15"/>
      <w:szCs w:val="15"/>
      <w:shd w:val="clear" w:color="auto" w:fill="FFFFFF"/>
    </w:rPr>
  </w:style>
  <w:style w:type="character" w:customStyle="1" w:styleId="TeksttreciSylfaen8pt">
    <w:name w:val="Tekst treści + Sylfaen;8 pt"/>
    <w:rsid w:val="00762FA1"/>
    <w:rPr>
      <w:rFonts w:ascii="Sylfaen" w:eastAsia="Sylfaen" w:hAnsi="Sylfaen" w:cs="Sylfaen"/>
      <w:b w:val="0"/>
      <w:bCs w:val="0"/>
      <w:i w:val="0"/>
      <w:iCs w:val="0"/>
      <w:smallCaps w:val="0"/>
      <w:strike w:val="0"/>
      <w:color w:val="000000"/>
      <w:spacing w:val="0"/>
      <w:w w:val="100"/>
      <w:position w:val="0"/>
      <w:sz w:val="16"/>
      <w:szCs w:val="16"/>
      <w:u w:val="none"/>
      <w:lang w:val="pl-PL"/>
    </w:rPr>
  </w:style>
  <w:style w:type="paragraph" w:customStyle="1" w:styleId="Teksttreci0">
    <w:name w:val="Tekst treści"/>
    <w:basedOn w:val="Normalny"/>
    <w:link w:val="Teksttreci"/>
    <w:rsid w:val="00762FA1"/>
    <w:pPr>
      <w:widowControl w:val="0"/>
      <w:shd w:val="clear" w:color="auto" w:fill="FFFFFF"/>
      <w:suppressAutoHyphens w:val="0"/>
      <w:spacing w:after="360" w:line="0" w:lineRule="atLeast"/>
      <w:ind w:hanging="500"/>
      <w:jc w:val="both"/>
    </w:pPr>
    <w:rPr>
      <w:rFonts w:ascii="Palatino Linotype" w:eastAsia="Palatino Linotype" w:hAnsi="Palatino Linotype"/>
      <w:sz w:val="15"/>
      <w:szCs w:val="15"/>
      <w:lang w:val="x-none" w:eastAsia="x-none"/>
    </w:rPr>
  </w:style>
  <w:style w:type="paragraph" w:customStyle="1" w:styleId="Rozdzia">
    <w:name w:val="Rozdział"/>
    <w:basedOn w:val="RozdziaW"/>
    <w:link w:val="RozdziaZnak"/>
    <w:qFormat/>
    <w:rsid w:val="00762FA1"/>
    <w:pPr>
      <w:ind w:left="0"/>
      <w:jc w:val="center"/>
    </w:pPr>
  </w:style>
  <w:style w:type="paragraph" w:customStyle="1" w:styleId="KM-Rozdzia">
    <w:name w:val="KM - Rozdział"/>
    <w:basedOn w:val="Rozdzia"/>
    <w:link w:val="KM-RozdziaZnak"/>
    <w:qFormat/>
    <w:rsid w:val="00762FA1"/>
  </w:style>
  <w:style w:type="character" w:customStyle="1" w:styleId="RozdziaWZnak">
    <w:name w:val="Rozdział W Znak"/>
    <w:link w:val="RozdziaW"/>
    <w:rsid w:val="00762FA1"/>
    <w:rPr>
      <w:rFonts w:ascii="Arial" w:hAnsi="Arial" w:cs="Arial"/>
      <w:b/>
      <w:bCs/>
      <w:kern w:val="32"/>
      <w:sz w:val="24"/>
      <w:szCs w:val="32"/>
    </w:rPr>
  </w:style>
  <w:style w:type="character" w:customStyle="1" w:styleId="RozdziaZnak">
    <w:name w:val="Rozdział Znak"/>
    <w:link w:val="Rozdzia"/>
    <w:rsid w:val="00762FA1"/>
    <w:rPr>
      <w:rFonts w:ascii="Arial" w:hAnsi="Arial" w:cs="Arial"/>
      <w:b/>
      <w:bCs/>
      <w:kern w:val="32"/>
      <w:sz w:val="24"/>
      <w:szCs w:val="32"/>
    </w:rPr>
  </w:style>
  <w:style w:type="paragraph" w:customStyle="1" w:styleId="KM-Podrozdzia">
    <w:name w:val="KM - Podrozdział"/>
    <w:basedOn w:val="PodrozdziaW"/>
    <w:link w:val="KM-PodrozdziaZnak"/>
    <w:qFormat/>
    <w:rsid w:val="00762FA1"/>
  </w:style>
  <w:style w:type="character" w:customStyle="1" w:styleId="KM-RozdziaZnak">
    <w:name w:val="KM - Rozdział Znak"/>
    <w:link w:val="KM-Rozdzia"/>
    <w:rsid w:val="00762FA1"/>
    <w:rPr>
      <w:rFonts w:ascii="Arial" w:hAnsi="Arial" w:cs="Arial"/>
      <w:b/>
      <w:bCs/>
      <w:kern w:val="32"/>
      <w:sz w:val="24"/>
      <w:szCs w:val="32"/>
    </w:rPr>
  </w:style>
  <w:style w:type="paragraph" w:customStyle="1" w:styleId="KM-Zacznik">
    <w:name w:val="KM - Załącznik"/>
    <w:basedOn w:val="RozdziaW"/>
    <w:link w:val="KM-ZacznikZnak"/>
    <w:qFormat/>
    <w:rsid w:val="00762FA1"/>
    <w:pPr>
      <w:spacing w:line="320" w:lineRule="exact"/>
      <w:ind w:left="0"/>
    </w:pPr>
  </w:style>
  <w:style w:type="character" w:customStyle="1" w:styleId="PodrozdziaWZnak">
    <w:name w:val="Podrozdział W Znak"/>
    <w:link w:val="PodrozdziaW"/>
    <w:rsid w:val="00762FA1"/>
    <w:rPr>
      <w:rFonts w:ascii="Arial" w:hAnsi="Arial" w:cs="Arial"/>
      <w:b/>
      <w:bCs/>
      <w:i/>
      <w:iCs/>
      <w:sz w:val="24"/>
      <w:szCs w:val="24"/>
    </w:rPr>
  </w:style>
  <w:style w:type="character" w:customStyle="1" w:styleId="KM-PodrozdziaZnak">
    <w:name w:val="KM - Podrozdział Znak"/>
    <w:link w:val="KM-Podrozdzia"/>
    <w:rsid w:val="00762FA1"/>
    <w:rPr>
      <w:rFonts w:ascii="Arial" w:hAnsi="Arial" w:cs="Arial"/>
      <w:b/>
      <w:bCs/>
      <w:i/>
      <w:iCs/>
      <w:sz w:val="24"/>
      <w:szCs w:val="24"/>
    </w:rPr>
  </w:style>
  <w:style w:type="character" w:customStyle="1" w:styleId="KM-ZacznikZnak">
    <w:name w:val="KM - Załącznik Znak"/>
    <w:link w:val="KM-Zacznik"/>
    <w:rsid w:val="00762FA1"/>
    <w:rPr>
      <w:rFonts w:ascii="Arial" w:hAnsi="Arial" w:cs="Arial"/>
      <w:b/>
      <w:bCs/>
      <w:kern w:val="32"/>
      <w:sz w:val="24"/>
      <w:szCs w:val="32"/>
    </w:rPr>
  </w:style>
  <w:style w:type="numbering" w:customStyle="1" w:styleId="1111111">
    <w:name w:val="1 / 1.1 / 1.1.11"/>
    <w:basedOn w:val="Bezlisty"/>
    <w:next w:val="111111"/>
    <w:rsid w:val="009D75FF"/>
  </w:style>
  <w:style w:type="character" w:customStyle="1" w:styleId="AkapitzlistZnak">
    <w:name w:val="Akapit z listą Znak"/>
    <w:link w:val="Akapitzlist"/>
    <w:uiPriority w:val="99"/>
    <w:locked/>
    <w:rsid w:val="009639E6"/>
    <w:rPr>
      <w:rFonts w:ascii="Calibri" w:eastAsia="Calibri" w:hAnsi="Calibri"/>
      <w:sz w:val="22"/>
      <w:szCs w:val="22"/>
      <w:lang w:eastAsia="en-US"/>
    </w:rPr>
  </w:style>
  <w:style w:type="paragraph" w:customStyle="1" w:styleId="Tekstpodstawowy22">
    <w:name w:val="Tekst podstawowy 22"/>
    <w:basedOn w:val="Normalny"/>
    <w:rsid w:val="00C2071D"/>
    <w:pPr>
      <w:jc w:val="both"/>
    </w:pPr>
  </w:style>
  <w:style w:type="paragraph" w:customStyle="1" w:styleId="KM-podpunkt">
    <w:name w:val="KM - podpunkt"/>
    <w:basedOn w:val="Akapit"/>
    <w:link w:val="KM-podpunktZnak"/>
    <w:qFormat/>
    <w:rsid w:val="00C2071D"/>
    <w:pPr>
      <w:keepNext w:val="0"/>
      <w:numPr>
        <w:ilvl w:val="0"/>
        <w:numId w:val="0"/>
      </w:numPr>
      <w:tabs>
        <w:tab w:val="num" w:pos="720"/>
      </w:tabs>
      <w:ind w:left="720" w:hanging="360"/>
      <w:jc w:val="left"/>
    </w:pPr>
    <w:rPr>
      <w:rFonts w:cs="Arial"/>
      <w:sz w:val="24"/>
      <w:lang w:val="pl-PL"/>
    </w:rPr>
  </w:style>
  <w:style w:type="character" w:customStyle="1" w:styleId="KM-podpunktZnak">
    <w:name w:val="KM - podpunkt Znak"/>
    <w:link w:val="KM-podpunkt"/>
    <w:rsid w:val="00C2071D"/>
    <w:rPr>
      <w:rFonts w:ascii="Arial" w:hAnsi="Arial" w:cs="Arial"/>
      <w:bCs/>
      <w:sz w:val="24"/>
      <w:szCs w:val="24"/>
    </w:rPr>
  </w:style>
  <w:style w:type="paragraph" w:customStyle="1" w:styleId="KM-2punkt">
    <w:name w:val="KM - 2. punkt"/>
    <w:basedOn w:val="Normalny"/>
    <w:link w:val="KM-2punktZnak"/>
    <w:qFormat/>
    <w:rsid w:val="00C2071D"/>
    <w:pPr>
      <w:numPr>
        <w:numId w:val="51"/>
      </w:numPr>
      <w:suppressAutoHyphens w:val="0"/>
      <w:spacing w:line="360" w:lineRule="auto"/>
      <w:ind w:left="426" w:hanging="426"/>
    </w:pPr>
    <w:rPr>
      <w:rFonts w:ascii="Arial" w:hAnsi="Arial"/>
      <w:szCs w:val="24"/>
    </w:rPr>
  </w:style>
  <w:style w:type="character" w:customStyle="1" w:styleId="KM-2punktZnak">
    <w:name w:val="KM - 2. punkt Znak"/>
    <w:link w:val="KM-2punkt"/>
    <w:rsid w:val="00C2071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70888">
      <w:bodyDiv w:val="1"/>
      <w:marLeft w:val="0"/>
      <w:marRight w:val="0"/>
      <w:marTop w:val="0"/>
      <w:marBottom w:val="0"/>
      <w:divBdr>
        <w:top w:val="none" w:sz="0" w:space="0" w:color="auto"/>
        <w:left w:val="none" w:sz="0" w:space="0" w:color="auto"/>
        <w:bottom w:val="none" w:sz="0" w:space="0" w:color="auto"/>
        <w:right w:val="none" w:sz="0" w:space="0" w:color="auto"/>
      </w:divBdr>
      <w:divsChild>
        <w:div w:id="80032880">
          <w:marLeft w:val="0"/>
          <w:marRight w:val="0"/>
          <w:marTop w:val="0"/>
          <w:marBottom w:val="0"/>
          <w:divBdr>
            <w:top w:val="none" w:sz="0" w:space="0" w:color="auto"/>
            <w:left w:val="none" w:sz="0" w:space="0" w:color="auto"/>
            <w:bottom w:val="none" w:sz="0" w:space="0" w:color="auto"/>
            <w:right w:val="none" w:sz="0" w:space="0" w:color="auto"/>
          </w:divBdr>
        </w:div>
        <w:div w:id="320735941">
          <w:marLeft w:val="0"/>
          <w:marRight w:val="0"/>
          <w:marTop w:val="0"/>
          <w:marBottom w:val="0"/>
          <w:divBdr>
            <w:top w:val="none" w:sz="0" w:space="0" w:color="auto"/>
            <w:left w:val="none" w:sz="0" w:space="0" w:color="auto"/>
            <w:bottom w:val="none" w:sz="0" w:space="0" w:color="auto"/>
            <w:right w:val="none" w:sz="0" w:space="0" w:color="auto"/>
          </w:divBdr>
        </w:div>
        <w:div w:id="364143029">
          <w:marLeft w:val="0"/>
          <w:marRight w:val="0"/>
          <w:marTop w:val="0"/>
          <w:marBottom w:val="0"/>
          <w:divBdr>
            <w:top w:val="none" w:sz="0" w:space="0" w:color="auto"/>
            <w:left w:val="none" w:sz="0" w:space="0" w:color="auto"/>
            <w:bottom w:val="none" w:sz="0" w:space="0" w:color="auto"/>
            <w:right w:val="none" w:sz="0" w:space="0" w:color="auto"/>
          </w:divBdr>
        </w:div>
        <w:div w:id="370502246">
          <w:marLeft w:val="0"/>
          <w:marRight w:val="0"/>
          <w:marTop w:val="0"/>
          <w:marBottom w:val="0"/>
          <w:divBdr>
            <w:top w:val="none" w:sz="0" w:space="0" w:color="auto"/>
            <w:left w:val="none" w:sz="0" w:space="0" w:color="auto"/>
            <w:bottom w:val="none" w:sz="0" w:space="0" w:color="auto"/>
            <w:right w:val="none" w:sz="0" w:space="0" w:color="auto"/>
          </w:divBdr>
        </w:div>
        <w:div w:id="534656717">
          <w:marLeft w:val="0"/>
          <w:marRight w:val="0"/>
          <w:marTop w:val="0"/>
          <w:marBottom w:val="0"/>
          <w:divBdr>
            <w:top w:val="none" w:sz="0" w:space="0" w:color="auto"/>
            <w:left w:val="none" w:sz="0" w:space="0" w:color="auto"/>
            <w:bottom w:val="none" w:sz="0" w:space="0" w:color="auto"/>
            <w:right w:val="none" w:sz="0" w:space="0" w:color="auto"/>
          </w:divBdr>
        </w:div>
        <w:div w:id="633560422">
          <w:marLeft w:val="0"/>
          <w:marRight w:val="0"/>
          <w:marTop w:val="0"/>
          <w:marBottom w:val="0"/>
          <w:divBdr>
            <w:top w:val="none" w:sz="0" w:space="0" w:color="auto"/>
            <w:left w:val="none" w:sz="0" w:space="0" w:color="auto"/>
            <w:bottom w:val="none" w:sz="0" w:space="0" w:color="auto"/>
            <w:right w:val="none" w:sz="0" w:space="0" w:color="auto"/>
          </w:divBdr>
        </w:div>
        <w:div w:id="663048246">
          <w:marLeft w:val="0"/>
          <w:marRight w:val="0"/>
          <w:marTop w:val="0"/>
          <w:marBottom w:val="0"/>
          <w:divBdr>
            <w:top w:val="none" w:sz="0" w:space="0" w:color="auto"/>
            <w:left w:val="none" w:sz="0" w:space="0" w:color="auto"/>
            <w:bottom w:val="none" w:sz="0" w:space="0" w:color="auto"/>
            <w:right w:val="none" w:sz="0" w:space="0" w:color="auto"/>
          </w:divBdr>
        </w:div>
        <w:div w:id="852305777">
          <w:marLeft w:val="0"/>
          <w:marRight w:val="0"/>
          <w:marTop w:val="0"/>
          <w:marBottom w:val="0"/>
          <w:divBdr>
            <w:top w:val="none" w:sz="0" w:space="0" w:color="auto"/>
            <w:left w:val="none" w:sz="0" w:space="0" w:color="auto"/>
            <w:bottom w:val="none" w:sz="0" w:space="0" w:color="auto"/>
            <w:right w:val="none" w:sz="0" w:space="0" w:color="auto"/>
          </w:divBdr>
        </w:div>
        <w:div w:id="897738780">
          <w:marLeft w:val="0"/>
          <w:marRight w:val="0"/>
          <w:marTop w:val="0"/>
          <w:marBottom w:val="0"/>
          <w:divBdr>
            <w:top w:val="none" w:sz="0" w:space="0" w:color="auto"/>
            <w:left w:val="none" w:sz="0" w:space="0" w:color="auto"/>
            <w:bottom w:val="none" w:sz="0" w:space="0" w:color="auto"/>
            <w:right w:val="none" w:sz="0" w:space="0" w:color="auto"/>
          </w:divBdr>
        </w:div>
        <w:div w:id="908080607">
          <w:marLeft w:val="0"/>
          <w:marRight w:val="0"/>
          <w:marTop w:val="0"/>
          <w:marBottom w:val="0"/>
          <w:divBdr>
            <w:top w:val="none" w:sz="0" w:space="0" w:color="auto"/>
            <w:left w:val="none" w:sz="0" w:space="0" w:color="auto"/>
            <w:bottom w:val="none" w:sz="0" w:space="0" w:color="auto"/>
            <w:right w:val="none" w:sz="0" w:space="0" w:color="auto"/>
          </w:divBdr>
        </w:div>
        <w:div w:id="996374041">
          <w:marLeft w:val="0"/>
          <w:marRight w:val="0"/>
          <w:marTop w:val="0"/>
          <w:marBottom w:val="0"/>
          <w:divBdr>
            <w:top w:val="none" w:sz="0" w:space="0" w:color="auto"/>
            <w:left w:val="none" w:sz="0" w:space="0" w:color="auto"/>
            <w:bottom w:val="none" w:sz="0" w:space="0" w:color="auto"/>
            <w:right w:val="none" w:sz="0" w:space="0" w:color="auto"/>
          </w:divBdr>
        </w:div>
        <w:div w:id="1017660274">
          <w:marLeft w:val="0"/>
          <w:marRight w:val="0"/>
          <w:marTop w:val="0"/>
          <w:marBottom w:val="0"/>
          <w:divBdr>
            <w:top w:val="none" w:sz="0" w:space="0" w:color="auto"/>
            <w:left w:val="none" w:sz="0" w:space="0" w:color="auto"/>
            <w:bottom w:val="none" w:sz="0" w:space="0" w:color="auto"/>
            <w:right w:val="none" w:sz="0" w:space="0" w:color="auto"/>
          </w:divBdr>
        </w:div>
        <w:div w:id="1036391641">
          <w:marLeft w:val="0"/>
          <w:marRight w:val="0"/>
          <w:marTop w:val="0"/>
          <w:marBottom w:val="0"/>
          <w:divBdr>
            <w:top w:val="none" w:sz="0" w:space="0" w:color="auto"/>
            <w:left w:val="none" w:sz="0" w:space="0" w:color="auto"/>
            <w:bottom w:val="none" w:sz="0" w:space="0" w:color="auto"/>
            <w:right w:val="none" w:sz="0" w:space="0" w:color="auto"/>
          </w:divBdr>
        </w:div>
        <w:div w:id="1040284072">
          <w:marLeft w:val="0"/>
          <w:marRight w:val="0"/>
          <w:marTop w:val="0"/>
          <w:marBottom w:val="0"/>
          <w:divBdr>
            <w:top w:val="none" w:sz="0" w:space="0" w:color="auto"/>
            <w:left w:val="none" w:sz="0" w:space="0" w:color="auto"/>
            <w:bottom w:val="none" w:sz="0" w:space="0" w:color="auto"/>
            <w:right w:val="none" w:sz="0" w:space="0" w:color="auto"/>
          </w:divBdr>
        </w:div>
        <w:div w:id="1218660311">
          <w:marLeft w:val="0"/>
          <w:marRight w:val="0"/>
          <w:marTop w:val="0"/>
          <w:marBottom w:val="0"/>
          <w:divBdr>
            <w:top w:val="none" w:sz="0" w:space="0" w:color="auto"/>
            <w:left w:val="none" w:sz="0" w:space="0" w:color="auto"/>
            <w:bottom w:val="none" w:sz="0" w:space="0" w:color="auto"/>
            <w:right w:val="none" w:sz="0" w:space="0" w:color="auto"/>
          </w:divBdr>
        </w:div>
        <w:div w:id="1239513792">
          <w:marLeft w:val="0"/>
          <w:marRight w:val="0"/>
          <w:marTop w:val="0"/>
          <w:marBottom w:val="0"/>
          <w:divBdr>
            <w:top w:val="none" w:sz="0" w:space="0" w:color="auto"/>
            <w:left w:val="none" w:sz="0" w:space="0" w:color="auto"/>
            <w:bottom w:val="none" w:sz="0" w:space="0" w:color="auto"/>
            <w:right w:val="none" w:sz="0" w:space="0" w:color="auto"/>
          </w:divBdr>
        </w:div>
        <w:div w:id="1267035235">
          <w:marLeft w:val="0"/>
          <w:marRight w:val="0"/>
          <w:marTop w:val="0"/>
          <w:marBottom w:val="0"/>
          <w:divBdr>
            <w:top w:val="none" w:sz="0" w:space="0" w:color="auto"/>
            <w:left w:val="none" w:sz="0" w:space="0" w:color="auto"/>
            <w:bottom w:val="none" w:sz="0" w:space="0" w:color="auto"/>
            <w:right w:val="none" w:sz="0" w:space="0" w:color="auto"/>
          </w:divBdr>
        </w:div>
        <w:div w:id="1318027070">
          <w:marLeft w:val="0"/>
          <w:marRight w:val="0"/>
          <w:marTop w:val="0"/>
          <w:marBottom w:val="0"/>
          <w:divBdr>
            <w:top w:val="none" w:sz="0" w:space="0" w:color="auto"/>
            <w:left w:val="none" w:sz="0" w:space="0" w:color="auto"/>
            <w:bottom w:val="none" w:sz="0" w:space="0" w:color="auto"/>
            <w:right w:val="none" w:sz="0" w:space="0" w:color="auto"/>
          </w:divBdr>
        </w:div>
        <w:div w:id="1452743186">
          <w:marLeft w:val="0"/>
          <w:marRight w:val="0"/>
          <w:marTop w:val="0"/>
          <w:marBottom w:val="0"/>
          <w:divBdr>
            <w:top w:val="none" w:sz="0" w:space="0" w:color="auto"/>
            <w:left w:val="none" w:sz="0" w:space="0" w:color="auto"/>
            <w:bottom w:val="none" w:sz="0" w:space="0" w:color="auto"/>
            <w:right w:val="none" w:sz="0" w:space="0" w:color="auto"/>
          </w:divBdr>
        </w:div>
        <w:div w:id="1520582024">
          <w:marLeft w:val="0"/>
          <w:marRight w:val="0"/>
          <w:marTop w:val="0"/>
          <w:marBottom w:val="0"/>
          <w:divBdr>
            <w:top w:val="none" w:sz="0" w:space="0" w:color="auto"/>
            <w:left w:val="none" w:sz="0" w:space="0" w:color="auto"/>
            <w:bottom w:val="none" w:sz="0" w:space="0" w:color="auto"/>
            <w:right w:val="none" w:sz="0" w:space="0" w:color="auto"/>
          </w:divBdr>
        </w:div>
        <w:div w:id="1892963522">
          <w:marLeft w:val="0"/>
          <w:marRight w:val="0"/>
          <w:marTop w:val="0"/>
          <w:marBottom w:val="0"/>
          <w:divBdr>
            <w:top w:val="none" w:sz="0" w:space="0" w:color="auto"/>
            <w:left w:val="none" w:sz="0" w:space="0" w:color="auto"/>
            <w:bottom w:val="none" w:sz="0" w:space="0" w:color="auto"/>
            <w:right w:val="none" w:sz="0" w:space="0" w:color="auto"/>
          </w:divBdr>
        </w:div>
        <w:div w:id="2089765501">
          <w:marLeft w:val="0"/>
          <w:marRight w:val="0"/>
          <w:marTop w:val="0"/>
          <w:marBottom w:val="0"/>
          <w:divBdr>
            <w:top w:val="none" w:sz="0" w:space="0" w:color="auto"/>
            <w:left w:val="none" w:sz="0" w:space="0" w:color="auto"/>
            <w:bottom w:val="none" w:sz="0" w:space="0" w:color="auto"/>
            <w:right w:val="none" w:sz="0" w:space="0" w:color="auto"/>
          </w:divBdr>
        </w:div>
      </w:divsChild>
    </w:div>
    <w:div w:id="110589031">
      <w:bodyDiv w:val="1"/>
      <w:marLeft w:val="0"/>
      <w:marRight w:val="0"/>
      <w:marTop w:val="0"/>
      <w:marBottom w:val="0"/>
      <w:divBdr>
        <w:top w:val="none" w:sz="0" w:space="0" w:color="auto"/>
        <w:left w:val="none" w:sz="0" w:space="0" w:color="auto"/>
        <w:bottom w:val="none" w:sz="0" w:space="0" w:color="auto"/>
        <w:right w:val="none" w:sz="0" w:space="0" w:color="auto"/>
      </w:divBdr>
      <w:divsChild>
        <w:div w:id="58136516">
          <w:marLeft w:val="0"/>
          <w:marRight w:val="0"/>
          <w:marTop w:val="0"/>
          <w:marBottom w:val="0"/>
          <w:divBdr>
            <w:top w:val="none" w:sz="0" w:space="0" w:color="auto"/>
            <w:left w:val="none" w:sz="0" w:space="0" w:color="auto"/>
            <w:bottom w:val="none" w:sz="0" w:space="0" w:color="auto"/>
            <w:right w:val="none" w:sz="0" w:space="0" w:color="auto"/>
          </w:divBdr>
        </w:div>
        <w:div w:id="228536483">
          <w:marLeft w:val="0"/>
          <w:marRight w:val="0"/>
          <w:marTop w:val="0"/>
          <w:marBottom w:val="0"/>
          <w:divBdr>
            <w:top w:val="none" w:sz="0" w:space="0" w:color="auto"/>
            <w:left w:val="none" w:sz="0" w:space="0" w:color="auto"/>
            <w:bottom w:val="none" w:sz="0" w:space="0" w:color="auto"/>
            <w:right w:val="none" w:sz="0" w:space="0" w:color="auto"/>
          </w:divBdr>
        </w:div>
        <w:div w:id="454180141">
          <w:marLeft w:val="0"/>
          <w:marRight w:val="0"/>
          <w:marTop w:val="0"/>
          <w:marBottom w:val="0"/>
          <w:divBdr>
            <w:top w:val="none" w:sz="0" w:space="0" w:color="auto"/>
            <w:left w:val="none" w:sz="0" w:space="0" w:color="auto"/>
            <w:bottom w:val="none" w:sz="0" w:space="0" w:color="auto"/>
            <w:right w:val="none" w:sz="0" w:space="0" w:color="auto"/>
          </w:divBdr>
        </w:div>
        <w:div w:id="498354817">
          <w:marLeft w:val="0"/>
          <w:marRight w:val="0"/>
          <w:marTop w:val="0"/>
          <w:marBottom w:val="0"/>
          <w:divBdr>
            <w:top w:val="none" w:sz="0" w:space="0" w:color="auto"/>
            <w:left w:val="none" w:sz="0" w:space="0" w:color="auto"/>
            <w:bottom w:val="none" w:sz="0" w:space="0" w:color="auto"/>
            <w:right w:val="none" w:sz="0" w:space="0" w:color="auto"/>
          </w:divBdr>
        </w:div>
        <w:div w:id="620766891">
          <w:marLeft w:val="0"/>
          <w:marRight w:val="0"/>
          <w:marTop w:val="0"/>
          <w:marBottom w:val="0"/>
          <w:divBdr>
            <w:top w:val="none" w:sz="0" w:space="0" w:color="auto"/>
            <w:left w:val="none" w:sz="0" w:space="0" w:color="auto"/>
            <w:bottom w:val="none" w:sz="0" w:space="0" w:color="auto"/>
            <w:right w:val="none" w:sz="0" w:space="0" w:color="auto"/>
          </w:divBdr>
        </w:div>
        <w:div w:id="637951796">
          <w:marLeft w:val="0"/>
          <w:marRight w:val="0"/>
          <w:marTop w:val="0"/>
          <w:marBottom w:val="0"/>
          <w:divBdr>
            <w:top w:val="none" w:sz="0" w:space="0" w:color="auto"/>
            <w:left w:val="none" w:sz="0" w:space="0" w:color="auto"/>
            <w:bottom w:val="none" w:sz="0" w:space="0" w:color="auto"/>
            <w:right w:val="none" w:sz="0" w:space="0" w:color="auto"/>
          </w:divBdr>
        </w:div>
        <w:div w:id="1043139844">
          <w:marLeft w:val="0"/>
          <w:marRight w:val="0"/>
          <w:marTop w:val="0"/>
          <w:marBottom w:val="0"/>
          <w:divBdr>
            <w:top w:val="none" w:sz="0" w:space="0" w:color="auto"/>
            <w:left w:val="none" w:sz="0" w:space="0" w:color="auto"/>
            <w:bottom w:val="none" w:sz="0" w:space="0" w:color="auto"/>
            <w:right w:val="none" w:sz="0" w:space="0" w:color="auto"/>
          </w:divBdr>
        </w:div>
        <w:div w:id="1283072490">
          <w:marLeft w:val="0"/>
          <w:marRight w:val="0"/>
          <w:marTop w:val="0"/>
          <w:marBottom w:val="0"/>
          <w:divBdr>
            <w:top w:val="none" w:sz="0" w:space="0" w:color="auto"/>
            <w:left w:val="none" w:sz="0" w:space="0" w:color="auto"/>
            <w:bottom w:val="none" w:sz="0" w:space="0" w:color="auto"/>
            <w:right w:val="none" w:sz="0" w:space="0" w:color="auto"/>
          </w:divBdr>
        </w:div>
        <w:div w:id="1313487809">
          <w:marLeft w:val="0"/>
          <w:marRight w:val="0"/>
          <w:marTop w:val="0"/>
          <w:marBottom w:val="0"/>
          <w:divBdr>
            <w:top w:val="none" w:sz="0" w:space="0" w:color="auto"/>
            <w:left w:val="none" w:sz="0" w:space="0" w:color="auto"/>
            <w:bottom w:val="none" w:sz="0" w:space="0" w:color="auto"/>
            <w:right w:val="none" w:sz="0" w:space="0" w:color="auto"/>
          </w:divBdr>
        </w:div>
        <w:div w:id="1567179536">
          <w:marLeft w:val="0"/>
          <w:marRight w:val="0"/>
          <w:marTop w:val="0"/>
          <w:marBottom w:val="0"/>
          <w:divBdr>
            <w:top w:val="none" w:sz="0" w:space="0" w:color="auto"/>
            <w:left w:val="none" w:sz="0" w:space="0" w:color="auto"/>
            <w:bottom w:val="none" w:sz="0" w:space="0" w:color="auto"/>
            <w:right w:val="none" w:sz="0" w:space="0" w:color="auto"/>
          </w:divBdr>
        </w:div>
        <w:div w:id="1693608421">
          <w:marLeft w:val="0"/>
          <w:marRight w:val="0"/>
          <w:marTop w:val="0"/>
          <w:marBottom w:val="0"/>
          <w:divBdr>
            <w:top w:val="none" w:sz="0" w:space="0" w:color="auto"/>
            <w:left w:val="none" w:sz="0" w:space="0" w:color="auto"/>
            <w:bottom w:val="none" w:sz="0" w:space="0" w:color="auto"/>
            <w:right w:val="none" w:sz="0" w:space="0" w:color="auto"/>
          </w:divBdr>
        </w:div>
        <w:div w:id="1698265780">
          <w:marLeft w:val="0"/>
          <w:marRight w:val="0"/>
          <w:marTop w:val="0"/>
          <w:marBottom w:val="0"/>
          <w:divBdr>
            <w:top w:val="none" w:sz="0" w:space="0" w:color="auto"/>
            <w:left w:val="none" w:sz="0" w:space="0" w:color="auto"/>
            <w:bottom w:val="none" w:sz="0" w:space="0" w:color="auto"/>
            <w:right w:val="none" w:sz="0" w:space="0" w:color="auto"/>
          </w:divBdr>
        </w:div>
        <w:div w:id="1700815084">
          <w:marLeft w:val="0"/>
          <w:marRight w:val="0"/>
          <w:marTop w:val="0"/>
          <w:marBottom w:val="0"/>
          <w:divBdr>
            <w:top w:val="none" w:sz="0" w:space="0" w:color="auto"/>
            <w:left w:val="none" w:sz="0" w:space="0" w:color="auto"/>
            <w:bottom w:val="none" w:sz="0" w:space="0" w:color="auto"/>
            <w:right w:val="none" w:sz="0" w:space="0" w:color="auto"/>
          </w:divBdr>
        </w:div>
        <w:div w:id="1739089071">
          <w:marLeft w:val="0"/>
          <w:marRight w:val="0"/>
          <w:marTop w:val="0"/>
          <w:marBottom w:val="0"/>
          <w:divBdr>
            <w:top w:val="none" w:sz="0" w:space="0" w:color="auto"/>
            <w:left w:val="none" w:sz="0" w:space="0" w:color="auto"/>
            <w:bottom w:val="none" w:sz="0" w:space="0" w:color="auto"/>
            <w:right w:val="none" w:sz="0" w:space="0" w:color="auto"/>
          </w:divBdr>
        </w:div>
        <w:div w:id="1777291819">
          <w:marLeft w:val="0"/>
          <w:marRight w:val="0"/>
          <w:marTop w:val="0"/>
          <w:marBottom w:val="0"/>
          <w:divBdr>
            <w:top w:val="none" w:sz="0" w:space="0" w:color="auto"/>
            <w:left w:val="none" w:sz="0" w:space="0" w:color="auto"/>
            <w:bottom w:val="none" w:sz="0" w:space="0" w:color="auto"/>
            <w:right w:val="none" w:sz="0" w:space="0" w:color="auto"/>
          </w:divBdr>
        </w:div>
        <w:div w:id="1811747985">
          <w:marLeft w:val="0"/>
          <w:marRight w:val="0"/>
          <w:marTop w:val="0"/>
          <w:marBottom w:val="0"/>
          <w:divBdr>
            <w:top w:val="none" w:sz="0" w:space="0" w:color="auto"/>
            <w:left w:val="none" w:sz="0" w:space="0" w:color="auto"/>
            <w:bottom w:val="none" w:sz="0" w:space="0" w:color="auto"/>
            <w:right w:val="none" w:sz="0" w:space="0" w:color="auto"/>
          </w:divBdr>
        </w:div>
        <w:div w:id="1815289854">
          <w:marLeft w:val="0"/>
          <w:marRight w:val="0"/>
          <w:marTop w:val="0"/>
          <w:marBottom w:val="0"/>
          <w:divBdr>
            <w:top w:val="none" w:sz="0" w:space="0" w:color="auto"/>
            <w:left w:val="none" w:sz="0" w:space="0" w:color="auto"/>
            <w:bottom w:val="none" w:sz="0" w:space="0" w:color="auto"/>
            <w:right w:val="none" w:sz="0" w:space="0" w:color="auto"/>
          </w:divBdr>
        </w:div>
        <w:div w:id="1947538743">
          <w:marLeft w:val="0"/>
          <w:marRight w:val="0"/>
          <w:marTop w:val="0"/>
          <w:marBottom w:val="0"/>
          <w:divBdr>
            <w:top w:val="none" w:sz="0" w:space="0" w:color="auto"/>
            <w:left w:val="none" w:sz="0" w:space="0" w:color="auto"/>
            <w:bottom w:val="none" w:sz="0" w:space="0" w:color="auto"/>
            <w:right w:val="none" w:sz="0" w:space="0" w:color="auto"/>
          </w:divBdr>
        </w:div>
        <w:div w:id="1970239139">
          <w:marLeft w:val="0"/>
          <w:marRight w:val="0"/>
          <w:marTop w:val="0"/>
          <w:marBottom w:val="0"/>
          <w:divBdr>
            <w:top w:val="none" w:sz="0" w:space="0" w:color="auto"/>
            <w:left w:val="none" w:sz="0" w:space="0" w:color="auto"/>
            <w:bottom w:val="none" w:sz="0" w:space="0" w:color="auto"/>
            <w:right w:val="none" w:sz="0" w:space="0" w:color="auto"/>
          </w:divBdr>
        </w:div>
        <w:div w:id="1973443710">
          <w:marLeft w:val="0"/>
          <w:marRight w:val="0"/>
          <w:marTop w:val="0"/>
          <w:marBottom w:val="0"/>
          <w:divBdr>
            <w:top w:val="none" w:sz="0" w:space="0" w:color="auto"/>
            <w:left w:val="none" w:sz="0" w:space="0" w:color="auto"/>
            <w:bottom w:val="none" w:sz="0" w:space="0" w:color="auto"/>
            <w:right w:val="none" w:sz="0" w:space="0" w:color="auto"/>
          </w:divBdr>
        </w:div>
        <w:div w:id="2062434069">
          <w:marLeft w:val="0"/>
          <w:marRight w:val="0"/>
          <w:marTop w:val="0"/>
          <w:marBottom w:val="0"/>
          <w:divBdr>
            <w:top w:val="none" w:sz="0" w:space="0" w:color="auto"/>
            <w:left w:val="none" w:sz="0" w:space="0" w:color="auto"/>
            <w:bottom w:val="none" w:sz="0" w:space="0" w:color="auto"/>
            <w:right w:val="none" w:sz="0" w:space="0" w:color="auto"/>
          </w:divBdr>
        </w:div>
        <w:div w:id="2123961080">
          <w:marLeft w:val="0"/>
          <w:marRight w:val="0"/>
          <w:marTop w:val="0"/>
          <w:marBottom w:val="0"/>
          <w:divBdr>
            <w:top w:val="none" w:sz="0" w:space="0" w:color="auto"/>
            <w:left w:val="none" w:sz="0" w:space="0" w:color="auto"/>
            <w:bottom w:val="none" w:sz="0" w:space="0" w:color="auto"/>
            <w:right w:val="none" w:sz="0" w:space="0" w:color="auto"/>
          </w:divBdr>
        </w:div>
      </w:divsChild>
    </w:div>
    <w:div w:id="222106094">
      <w:bodyDiv w:val="1"/>
      <w:marLeft w:val="0"/>
      <w:marRight w:val="0"/>
      <w:marTop w:val="0"/>
      <w:marBottom w:val="0"/>
      <w:divBdr>
        <w:top w:val="none" w:sz="0" w:space="0" w:color="auto"/>
        <w:left w:val="none" w:sz="0" w:space="0" w:color="auto"/>
        <w:bottom w:val="none" w:sz="0" w:space="0" w:color="auto"/>
        <w:right w:val="none" w:sz="0" w:space="0" w:color="auto"/>
      </w:divBdr>
    </w:div>
    <w:div w:id="270094941">
      <w:bodyDiv w:val="1"/>
      <w:marLeft w:val="0"/>
      <w:marRight w:val="0"/>
      <w:marTop w:val="0"/>
      <w:marBottom w:val="0"/>
      <w:divBdr>
        <w:top w:val="none" w:sz="0" w:space="0" w:color="auto"/>
        <w:left w:val="none" w:sz="0" w:space="0" w:color="auto"/>
        <w:bottom w:val="none" w:sz="0" w:space="0" w:color="auto"/>
        <w:right w:val="none" w:sz="0" w:space="0" w:color="auto"/>
      </w:divBdr>
    </w:div>
    <w:div w:id="296374591">
      <w:bodyDiv w:val="1"/>
      <w:marLeft w:val="0"/>
      <w:marRight w:val="0"/>
      <w:marTop w:val="0"/>
      <w:marBottom w:val="0"/>
      <w:divBdr>
        <w:top w:val="none" w:sz="0" w:space="0" w:color="auto"/>
        <w:left w:val="none" w:sz="0" w:space="0" w:color="auto"/>
        <w:bottom w:val="none" w:sz="0" w:space="0" w:color="auto"/>
        <w:right w:val="none" w:sz="0" w:space="0" w:color="auto"/>
      </w:divBdr>
    </w:div>
    <w:div w:id="318576176">
      <w:bodyDiv w:val="1"/>
      <w:marLeft w:val="0"/>
      <w:marRight w:val="0"/>
      <w:marTop w:val="0"/>
      <w:marBottom w:val="0"/>
      <w:divBdr>
        <w:top w:val="none" w:sz="0" w:space="0" w:color="auto"/>
        <w:left w:val="none" w:sz="0" w:space="0" w:color="auto"/>
        <w:bottom w:val="none" w:sz="0" w:space="0" w:color="auto"/>
        <w:right w:val="none" w:sz="0" w:space="0" w:color="auto"/>
      </w:divBdr>
    </w:div>
    <w:div w:id="388309241">
      <w:bodyDiv w:val="1"/>
      <w:marLeft w:val="0"/>
      <w:marRight w:val="0"/>
      <w:marTop w:val="0"/>
      <w:marBottom w:val="0"/>
      <w:divBdr>
        <w:top w:val="none" w:sz="0" w:space="0" w:color="auto"/>
        <w:left w:val="none" w:sz="0" w:space="0" w:color="auto"/>
        <w:bottom w:val="none" w:sz="0" w:space="0" w:color="auto"/>
        <w:right w:val="none" w:sz="0" w:space="0" w:color="auto"/>
      </w:divBdr>
      <w:divsChild>
        <w:div w:id="1506089536">
          <w:marLeft w:val="0"/>
          <w:marRight w:val="0"/>
          <w:marTop w:val="0"/>
          <w:marBottom w:val="0"/>
          <w:divBdr>
            <w:top w:val="none" w:sz="0" w:space="0" w:color="auto"/>
            <w:left w:val="none" w:sz="0" w:space="0" w:color="auto"/>
            <w:bottom w:val="none" w:sz="0" w:space="0" w:color="auto"/>
            <w:right w:val="none" w:sz="0" w:space="0" w:color="auto"/>
          </w:divBdr>
        </w:div>
      </w:divsChild>
    </w:div>
    <w:div w:id="423189809">
      <w:bodyDiv w:val="1"/>
      <w:marLeft w:val="0"/>
      <w:marRight w:val="0"/>
      <w:marTop w:val="0"/>
      <w:marBottom w:val="0"/>
      <w:divBdr>
        <w:top w:val="none" w:sz="0" w:space="0" w:color="auto"/>
        <w:left w:val="none" w:sz="0" w:space="0" w:color="auto"/>
        <w:bottom w:val="none" w:sz="0" w:space="0" w:color="auto"/>
        <w:right w:val="none" w:sz="0" w:space="0" w:color="auto"/>
      </w:divBdr>
    </w:div>
    <w:div w:id="424958294">
      <w:bodyDiv w:val="1"/>
      <w:marLeft w:val="0"/>
      <w:marRight w:val="0"/>
      <w:marTop w:val="0"/>
      <w:marBottom w:val="0"/>
      <w:divBdr>
        <w:top w:val="none" w:sz="0" w:space="0" w:color="auto"/>
        <w:left w:val="none" w:sz="0" w:space="0" w:color="auto"/>
        <w:bottom w:val="none" w:sz="0" w:space="0" w:color="auto"/>
        <w:right w:val="none" w:sz="0" w:space="0" w:color="auto"/>
      </w:divBdr>
    </w:div>
    <w:div w:id="428819296">
      <w:bodyDiv w:val="1"/>
      <w:marLeft w:val="0"/>
      <w:marRight w:val="0"/>
      <w:marTop w:val="0"/>
      <w:marBottom w:val="0"/>
      <w:divBdr>
        <w:top w:val="none" w:sz="0" w:space="0" w:color="auto"/>
        <w:left w:val="none" w:sz="0" w:space="0" w:color="auto"/>
        <w:bottom w:val="none" w:sz="0" w:space="0" w:color="auto"/>
        <w:right w:val="none" w:sz="0" w:space="0" w:color="auto"/>
      </w:divBdr>
    </w:div>
    <w:div w:id="593363831">
      <w:bodyDiv w:val="1"/>
      <w:marLeft w:val="0"/>
      <w:marRight w:val="0"/>
      <w:marTop w:val="0"/>
      <w:marBottom w:val="0"/>
      <w:divBdr>
        <w:top w:val="none" w:sz="0" w:space="0" w:color="auto"/>
        <w:left w:val="none" w:sz="0" w:space="0" w:color="auto"/>
        <w:bottom w:val="none" w:sz="0" w:space="0" w:color="auto"/>
        <w:right w:val="none" w:sz="0" w:space="0" w:color="auto"/>
      </w:divBdr>
      <w:divsChild>
        <w:div w:id="39719270">
          <w:marLeft w:val="0"/>
          <w:marRight w:val="0"/>
          <w:marTop w:val="0"/>
          <w:marBottom w:val="0"/>
          <w:divBdr>
            <w:top w:val="none" w:sz="0" w:space="0" w:color="auto"/>
            <w:left w:val="none" w:sz="0" w:space="0" w:color="auto"/>
            <w:bottom w:val="none" w:sz="0" w:space="0" w:color="auto"/>
            <w:right w:val="none" w:sz="0" w:space="0" w:color="auto"/>
          </w:divBdr>
        </w:div>
        <w:div w:id="67463946">
          <w:marLeft w:val="0"/>
          <w:marRight w:val="0"/>
          <w:marTop w:val="0"/>
          <w:marBottom w:val="0"/>
          <w:divBdr>
            <w:top w:val="none" w:sz="0" w:space="0" w:color="auto"/>
            <w:left w:val="none" w:sz="0" w:space="0" w:color="auto"/>
            <w:bottom w:val="none" w:sz="0" w:space="0" w:color="auto"/>
            <w:right w:val="none" w:sz="0" w:space="0" w:color="auto"/>
          </w:divBdr>
        </w:div>
        <w:div w:id="110324521">
          <w:marLeft w:val="0"/>
          <w:marRight w:val="0"/>
          <w:marTop w:val="0"/>
          <w:marBottom w:val="0"/>
          <w:divBdr>
            <w:top w:val="none" w:sz="0" w:space="0" w:color="auto"/>
            <w:left w:val="none" w:sz="0" w:space="0" w:color="auto"/>
            <w:bottom w:val="none" w:sz="0" w:space="0" w:color="auto"/>
            <w:right w:val="none" w:sz="0" w:space="0" w:color="auto"/>
          </w:divBdr>
        </w:div>
        <w:div w:id="119888369">
          <w:marLeft w:val="0"/>
          <w:marRight w:val="0"/>
          <w:marTop w:val="0"/>
          <w:marBottom w:val="0"/>
          <w:divBdr>
            <w:top w:val="none" w:sz="0" w:space="0" w:color="auto"/>
            <w:left w:val="none" w:sz="0" w:space="0" w:color="auto"/>
            <w:bottom w:val="none" w:sz="0" w:space="0" w:color="auto"/>
            <w:right w:val="none" w:sz="0" w:space="0" w:color="auto"/>
          </w:divBdr>
        </w:div>
        <w:div w:id="122160952">
          <w:marLeft w:val="0"/>
          <w:marRight w:val="0"/>
          <w:marTop w:val="0"/>
          <w:marBottom w:val="0"/>
          <w:divBdr>
            <w:top w:val="none" w:sz="0" w:space="0" w:color="auto"/>
            <w:left w:val="none" w:sz="0" w:space="0" w:color="auto"/>
            <w:bottom w:val="none" w:sz="0" w:space="0" w:color="auto"/>
            <w:right w:val="none" w:sz="0" w:space="0" w:color="auto"/>
          </w:divBdr>
        </w:div>
        <w:div w:id="185290541">
          <w:marLeft w:val="0"/>
          <w:marRight w:val="0"/>
          <w:marTop w:val="0"/>
          <w:marBottom w:val="0"/>
          <w:divBdr>
            <w:top w:val="none" w:sz="0" w:space="0" w:color="auto"/>
            <w:left w:val="none" w:sz="0" w:space="0" w:color="auto"/>
            <w:bottom w:val="none" w:sz="0" w:space="0" w:color="auto"/>
            <w:right w:val="none" w:sz="0" w:space="0" w:color="auto"/>
          </w:divBdr>
        </w:div>
        <w:div w:id="222179669">
          <w:marLeft w:val="0"/>
          <w:marRight w:val="0"/>
          <w:marTop w:val="0"/>
          <w:marBottom w:val="0"/>
          <w:divBdr>
            <w:top w:val="none" w:sz="0" w:space="0" w:color="auto"/>
            <w:left w:val="none" w:sz="0" w:space="0" w:color="auto"/>
            <w:bottom w:val="none" w:sz="0" w:space="0" w:color="auto"/>
            <w:right w:val="none" w:sz="0" w:space="0" w:color="auto"/>
          </w:divBdr>
        </w:div>
        <w:div w:id="234704608">
          <w:marLeft w:val="0"/>
          <w:marRight w:val="0"/>
          <w:marTop w:val="0"/>
          <w:marBottom w:val="0"/>
          <w:divBdr>
            <w:top w:val="none" w:sz="0" w:space="0" w:color="auto"/>
            <w:left w:val="none" w:sz="0" w:space="0" w:color="auto"/>
            <w:bottom w:val="none" w:sz="0" w:space="0" w:color="auto"/>
            <w:right w:val="none" w:sz="0" w:space="0" w:color="auto"/>
          </w:divBdr>
        </w:div>
        <w:div w:id="272325587">
          <w:marLeft w:val="0"/>
          <w:marRight w:val="0"/>
          <w:marTop w:val="0"/>
          <w:marBottom w:val="0"/>
          <w:divBdr>
            <w:top w:val="none" w:sz="0" w:space="0" w:color="auto"/>
            <w:left w:val="none" w:sz="0" w:space="0" w:color="auto"/>
            <w:bottom w:val="none" w:sz="0" w:space="0" w:color="auto"/>
            <w:right w:val="none" w:sz="0" w:space="0" w:color="auto"/>
          </w:divBdr>
        </w:div>
        <w:div w:id="300186630">
          <w:marLeft w:val="0"/>
          <w:marRight w:val="0"/>
          <w:marTop w:val="0"/>
          <w:marBottom w:val="0"/>
          <w:divBdr>
            <w:top w:val="none" w:sz="0" w:space="0" w:color="auto"/>
            <w:left w:val="none" w:sz="0" w:space="0" w:color="auto"/>
            <w:bottom w:val="none" w:sz="0" w:space="0" w:color="auto"/>
            <w:right w:val="none" w:sz="0" w:space="0" w:color="auto"/>
          </w:divBdr>
        </w:div>
        <w:div w:id="305479455">
          <w:marLeft w:val="0"/>
          <w:marRight w:val="0"/>
          <w:marTop w:val="0"/>
          <w:marBottom w:val="0"/>
          <w:divBdr>
            <w:top w:val="none" w:sz="0" w:space="0" w:color="auto"/>
            <w:left w:val="none" w:sz="0" w:space="0" w:color="auto"/>
            <w:bottom w:val="none" w:sz="0" w:space="0" w:color="auto"/>
            <w:right w:val="none" w:sz="0" w:space="0" w:color="auto"/>
          </w:divBdr>
        </w:div>
        <w:div w:id="340089890">
          <w:marLeft w:val="0"/>
          <w:marRight w:val="0"/>
          <w:marTop w:val="0"/>
          <w:marBottom w:val="0"/>
          <w:divBdr>
            <w:top w:val="none" w:sz="0" w:space="0" w:color="auto"/>
            <w:left w:val="none" w:sz="0" w:space="0" w:color="auto"/>
            <w:bottom w:val="none" w:sz="0" w:space="0" w:color="auto"/>
            <w:right w:val="none" w:sz="0" w:space="0" w:color="auto"/>
          </w:divBdr>
        </w:div>
        <w:div w:id="370804917">
          <w:marLeft w:val="0"/>
          <w:marRight w:val="0"/>
          <w:marTop w:val="0"/>
          <w:marBottom w:val="0"/>
          <w:divBdr>
            <w:top w:val="none" w:sz="0" w:space="0" w:color="auto"/>
            <w:left w:val="none" w:sz="0" w:space="0" w:color="auto"/>
            <w:bottom w:val="none" w:sz="0" w:space="0" w:color="auto"/>
            <w:right w:val="none" w:sz="0" w:space="0" w:color="auto"/>
          </w:divBdr>
        </w:div>
        <w:div w:id="468132553">
          <w:marLeft w:val="0"/>
          <w:marRight w:val="0"/>
          <w:marTop w:val="0"/>
          <w:marBottom w:val="0"/>
          <w:divBdr>
            <w:top w:val="none" w:sz="0" w:space="0" w:color="auto"/>
            <w:left w:val="none" w:sz="0" w:space="0" w:color="auto"/>
            <w:bottom w:val="none" w:sz="0" w:space="0" w:color="auto"/>
            <w:right w:val="none" w:sz="0" w:space="0" w:color="auto"/>
          </w:divBdr>
        </w:div>
        <w:div w:id="503471725">
          <w:marLeft w:val="0"/>
          <w:marRight w:val="0"/>
          <w:marTop w:val="0"/>
          <w:marBottom w:val="0"/>
          <w:divBdr>
            <w:top w:val="none" w:sz="0" w:space="0" w:color="auto"/>
            <w:left w:val="none" w:sz="0" w:space="0" w:color="auto"/>
            <w:bottom w:val="none" w:sz="0" w:space="0" w:color="auto"/>
            <w:right w:val="none" w:sz="0" w:space="0" w:color="auto"/>
          </w:divBdr>
        </w:div>
        <w:div w:id="543911436">
          <w:marLeft w:val="0"/>
          <w:marRight w:val="0"/>
          <w:marTop w:val="0"/>
          <w:marBottom w:val="0"/>
          <w:divBdr>
            <w:top w:val="none" w:sz="0" w:space="0" w:color="auto"/>
            <w:left w:val="none" w:sz="0" w:space="0" w:color="auto"/>
            <w:bottom w:val="none" w:sz="0" w:space="0" w:color="auto"/>
            <w:right w:val="none" w:sz="0" w:space="0" w:color="auto"/>
          </w:divBdr>
        </w:div>
        <w:div w:id="576213229">
          <w:marLeft w:val="0"/>
          <w:marRight w:val="0"/>
          <w:marTop w:val="0"/>
          <w:marBottom w:val="0"/>
          <w:divBdr>
            <w:top w:val="none" w:sz="0" w:space="0" w:color="auto"/>
            <w:left w:val="none" w:sz="0" w:space="0" w:color="auto"/>
            <w:bottom w:val="none" w:sz="0" w:space="0" w:color="auto"/>
            <w:right w:val="none" w:sz="0" w:space="0" w:color="auto"/>
          </w:divBdr>
        </w:div>
        <w:div w:id="591204571">
          <w:marLeft w:val="0"/>
          <w:marRight w:val="0"/>
          <w:marTop w:val="0"/>
          <w:marBottom w:val="0"/>
          <w:divBdr>
            <w:top w:val="none" w:sz="0" w:space="0" w:color="auto"/>
            <w:left w:val="none" w:sz="0" w:space="0" w:color="auto"/>
            <w:bottom w:val="none" w:sz="0" w:space="0" w:color="auto"/>
            <w:right w:val="none" w:sz="0" w:space="0" w:color="auto"/>
          </w:divBdr>
        </w:div>
        <w:div w:id="649334424">
          <w:marLeft w:val="0"/>
          <w:marRight w:val="0"/>
          <w:marTop w:val="0"/>
          <w:marBottom w:val="0"/>
          <w:divBdr>
            <w:top w:val="none" w:sz="0" w:space="0" w:color="auto"/>
            <w:left w:val="none" w:sz="0" w:space="0" w:color="auto"/>
            <w:bottom w:val="none" w:sz="0" w:space="0" w:color="auto"/>
            <w:right w:val="none" w:sz="0" w:space="0" w:color="auto"/>
          </w:divBdr>
        </w:div>
        <w:div w:id="650213553">
          <w:marLeft w:val="0"/>
          <w:marRight w:val="0"/>
          <w:marTop w:val="0"/>
          <w:marBottom w:val="0"/>
          <w:divBdr>
            <w:top w:val="none" w:sz="0" w:space="0" w:color="auto"/>
            <w:left w:val="none" w:sz="0" w:space="0" w:color="auto"/>
            <w:bottom w:val="none" w:sz="0" w:space="0" w:color="auto"/>
            <w:right w:val="none" w:sz="0" w:space="0" w:color="auto"/>
          </w:divBdr>
        </w:div>
        <w:div w:id="715393211">
          <w:marLeft w:val="0"/>
          <w:marRight w:val="0"/>
          <w:marTop w:val="0"/>
          <w:marBottom w:val="0"/>
          <w:divBdr>
            <w:top w:val="none" w:sz="0" w:space="0" w:color="auto"/>
            <w:left w:val="none" w:sz="0" w:space="0" w:color="auto"/>
            <w:bottom w:val="none" w:sz="0" w:space="0" w:color="auto"/>
            <w:right w:val="none" w:sz="0" w:space="0" w:color="auto"/>
          </w:divBdr>
        </w:div>
        <w:div w:id="765268982">
          <w:marLeft w:val="0"/>
          <w:marRight w:val="0"/>
          <w:marTop w:val="0"/>
          <w:marBottom w:val="0"/>
          <w:divBdr>
            <w:top w:val="none" w:sz="0" w:space="0" w:color="auto"/>
            <w:left w:val="none" w:sz="0" w:space="0" w:color="auto"/>
            <w:bottom w:val="none" w:sz="0" w:space="0" w:color="auto"/>
            <w:right w:val="none" w:sz="0" w:space="0" w:color="auto"/>
          </w:divBdr>
        </w:div>
        <w:div w:id="829902260">
          <w:marLeft w:val="0"/>
          <w:marRight w:val="0"/>
          <w:marTop w:val="0"/>
          <w:marBottom w:val="0"/>
          <w:divBdr>
            <w:top w:val="none" w:sz="0" w:space="0" w:color="auto"/>
            <w:left w:val="none" w:sz="0" w:space="0" w:color="auto"/>
            <w:bottom w:val="none" w:sz="0" w:space="0" w:color="auto"/>
            <w:right w:val="none" w:sz="0" w:space="0" w:color="auto"/>
          </w:divBdr>
        </w:div>
        <w:div w:id="842353316">
          <w:marLeft w:val="0"/>
          <w:marRight w:val="0"/>
          <w:marTop w:val="0"/>
          <w:marBottom w:val="0"/>
          <w:divBdr>
            <w:top w:val="none" w:sz="0" w:space="0" w:color="auto"/>
            <w:left w:val="none" w:sz="0" w:space="0" w:color="auto"/>
            <w:bottom w:val="none" w:sz="0" w:space="0" w:color="auto"/>
            <w:right w:val="none" w:sz="0" w:space="0" w:color="auto"/>
          </w:divBdr>
        </w:div>
        <w:div w:id="851993076">
          <w:marLeft w:val="0"/>
          <w:marRight w:val="0"/>
          <w:marTop w:val="0"/>
          <w:marBottom w:val="0"/>
          <w:divBdr>
            <w:top w:val="none" w:sz="0" w:space="0" w:color="auto"/>
            <w:left w:val="none" w:sz="0" w:space="0" w:color="auto"/>
            <w:bottom w:val="none" w:sz="0" w:space="0" w:color="auto"/>
            <w:right w:val="none" w:sz="0" w:space="0" w:color="auto"/>
          </w:divBdr>
        </w:div>
        <w:div w:id="870386651">
          <w:marLeft w:val="0"/>
          <w:marRight w:val="0"/>
          <w:marTop w:val="0"/>
          <w:marBottom w:val="0"/>
          <w:divBdr>
            <w:top w:val="none" w:sz="0" w:space="0" w:color="auto"/>
            <w:left w:val="none" w:sz="0" w:space="0" w:color="auto"/>
            <w:bottom w:val="none" w:sz="0" w:space="0" w:color="auto"/>
            <w:right w:val="none" w:sz="0" w:space="0" w:color="auto"/>
          </w:divBdr>
        </w:div>
        <w:div w:id="873805133">
          <w:marLeft w:val="0"/>
          <w:marRight w:val="0"/>
          <w:marTop w:val="0"/>
          <w:marBottom w:val="0"/>
          <w:divBdr>
            <w:top w:val="none" w:sz="0" w:space="0" w:color="auto"/>
            <w:left w:val="none" w:sz="0" w:space="0" w:color="auto"/>
            <w:bottom w:val="none" w:sz="0" w:space="0" w:color="auto"/>
            <w:right w:val="none" w:sz="0" w:space="0" w:color="auto"/>
          </w:divBdr>
        </w:div>
        <w:div w:id="982199736">
          <w:marLeft w:val="0"/>
          <w:marRight w:val="0"/>
          <w:marTop w:val="0"/>
          <w:marBottom w:val="0"/>
          <w:divBdr>
            <w:top w:val="none" w:sz="0" w:space="0" w:color="auto"/>
            <w:left w:val="none" w:sz="0" w:space="0" w:color="auto"/>
            <w:bottom w:val="none" w:sz="0" w:space="0" w:color="auto"/>
            <w:right w:val="none" w:sz="0" w:space="0" w:color="auto"/>
          </w:divBdr>
        </w:div>
        <w:div w:id="1040206514">
          <w:marLeft w:val="0"/>
          <w:marRight w:val="0"/>
          <w:marTop w:val="0"/>
          <w:marBottom w:val="0"/>
          <w:divBdr>
            <w:top w:val="none" w:sz="0" w:space="0" w:color="auto"/>
            <w:left w:val="none" w:sz="0" w:space="0" w:color="auto"/>
            <w:bottom w:val="none" w:sz="0" w:space="0" w:color="auto"/>
            <w:right w:val="none" w:sz="0" w:space="0" w:color="auto"/>
          </w:divBdr>
        </w:div>
        <w:div w:id="1062673680">
          <w:marLeft w:val="0"/>
          <w:marRight w:val="0"/>
          <w:marTop w:val="0"/>
          <w:marBottom w:val="0"/>
          <w:divBdr>
            <w:top w:val="none" w:sz="0" w:space="0" w:color="auto"/>
            <w:left w:val="none" w:sz="0" w:space="0" w:color="auto"/>
            <w:bottom w:val="none" w:sz="0" w:space="0" w:color="auto"/>
            <w:right w:val="none" w:sz="0" w:space="0" w:color="auto"/>
          </w:divBdr>
        </w:div>
        <w:div w:id="1153062238">
          <w:marLeft w:val="0"/>
          <w:marRight w:val="0"/>
          <w:marTop w:val="0"/>
          <w:marBottom w:val="0"/>
          <w:divBdr>
            <w:top w:val="none" w:sz="0" w:space="0" w:color="auto"/>
            <w:left w:val="none" w:sz="0" w:space="0" w:color="auto"/>
            <w:bottom w:val="none" w:sz="0" w:space="0" w:color="auto"/>
            <w:right w:val="none" w:sz="0" w:space="0" w:color="auto"/>
          </w:divBdr>
        </w:div>
        <w:div w:id="1182205499">
          <w:marLeft w:val="0"/>
          <w:marRight w:val="0"/>
          <w:marTop w:val="0"/>
          <w:marBottom w:val="0"/>
          <w:divBdr>
            <w:top w:val="none" w:sz="0" w:space="0" w:color="auto"/>
            <w:left w:val="none" w:sz="0" w:space="0" w:color="auto"/>
            <w:bottom w:val="none" w:sz="0" w:space="0" w:color="auto"/>
            <w:right w:val="none" w:sz="0" w:space="0" w:color="auto"/>
          </w:divBdr>
        </w:div>
        <w:div w:id="1241872558">
          <w:marLeft w:val="0"/>
          <w:marRight w:val="0"/>
          <w:marTop w:val="0"/>
          <w:marBottom w:val="0"/>
          <w:divBdr>
            <w:top w:val="none" w:sz="0" w:space="0" w:color="auto"/>
            <w:left w:val="none" w:sz="0" w:space="0" w:color="auto"/>
            <w:bottom w:val="none" w:sz="0" w:space="0" w:color="auto"/>
            <w:right w:val="none" w:sz="0" w:space="0" w:color="auto"/>
          </w:divBdr>
        </w:div>
        <w:div w:id="1264076339">
          <w:marLeft w:val="0"/>
          <w:marRight w:val="0"/>
          <w:marTop w:val="0"/>
          <w:marBottom w:val="0"/>
          <w:divBdr>
            <w:top w:val="none" w:sz="0" w:space="0" w:color="auto"/>
            <w:left w:val="none" w:sz="0" w:space="0" w:color="auto"/>
            <w:bottom w:val="none" w:sz="0" w:space="0" w:color="auto"/>
            <w:right w:val="none" w:sz="0" w:space="0" w:color="auto"/>
          </w:divBdr>
        </w:div>
        <w:div w:id="1366372105">
          <w:marLeft w:val="0"/>
          <w:marRight w:val="0"/>
          <w:marTop w:val="0"/>
          <w:marBottom w:val="0"/>
          <w:divBdr>
            <w:top w:val="none" w:sz="0" w:space="0" w:color="auto"/>
            <w:left w:val="none" w:sz="0" w:space="0" w:color="auto"/>
            <w:bottom w:val="none" w:sz="0" w:space="0" w:color="auto"/>
            <w:right w:val="none" w:sz="0" w:space="0" w:color="auto"/>
          </w:divBdr>
        </w:div>
        <w:div w:id="1374303642">
          <w:marLeft w:val="0"/>
          <w:marRight w:val="0"/>
          <w:marTop w:val="0"/>
          <w:marBottom w:val="0"/>
          <w:divBdr>
            <w:top w:val="none" w:sz="0" w:space="0" w:color="auto"/>
            <w:left w:val="none" w:sz="0" w:space="0" w:color="auto"/>
            <w:bottom w:val="none" w:sz="0" w:space="0" w:color="auto"/>
            <w:right w:val="none" w:sz="0" w:space="0" w:color="auto"/>
          </w:divBdr>
        </w:div>
        <w:div w:id="1385373185">
          <w:marLeft w:val="0"/>
          <w:marRight w:val="0"/>
          <w:marTop w:val="0"/>
          <w:marBottom w:val="0"/>
          <w:divBdr>
            <w:top w:val="none" w:sz="0" w:space="0" w:color="auto"/>
            <w:left w:val="none" w:sz="0" w:space="0" w:color="auto"/>
            <w:bottom w:val="none" w:sz="0" w:space="0" w:color="auto"/>
            <w:right w:val="none" w:sz="0" w:space="0" w:color="auto"/>
          </w:divBdr>
        </w:div>
        <w:div w:id="1428498064">
          <w:marLeft w:val="0"/>
          <w:marRight w:val="0"/>
          <w:marTop w:val="0"/>
          <w:marBottom w:val="0"/>
          <w:divBdr>
            <w:top w:val="none" w:sz="0" w:space="0" w:color="auto"/>
            <w:left w:val="none" w:sz="0" w:space="0" w:color="auto"/>
            <w:bottom w:val="none" w:sz="0" w:space="0" w:color="auto"/>
            <w:right w:val="none" w:sz="0" w:space="0" w:color="auto"/>
          </w:divBdr>
        </w:div>
        <w:div w:id="1503351218">
          <w:marLeft w:val="0"/>
          <w:marRight w:val="0"/>
          <w:marTop w:val="0"/>
          <w:marBottom w:val="0"/>
          <w:divBdr>
            <w:top w:val="none" w:sz="0" w:space="0" w:color="auto"/>
            <w:left w:val="none" w:sz="0" w:space="0" w:color="auto"/>
            <w:bottom w:val="none" w:sz="0" w:space="0" w:color="auto"/>
            <w:right w:val="none" w:sz="0" w:space="0" w:color="auto"/>
          </w:divBdr>
        </w:div>
        <w:div w:id="1647857369">
          <w:marLeft w:val="0"/>
          <w:marRight w:val="0"/>
          <w:marTop w:val="0"/>
          <w:marBottom w:val="0"/>
          <w:divBdr>
            <w:top w:val="none" w:sz="0" w:space="0" w:color="auto"/>
            <w:left w:val="none" w:sz="0" w:space="0" w:color="auto"/>
            <w:bottom w:val="none" w:sz="0" w:space="0" w:color="auto"/>
            <w:right w:val="none" w:sz="0" w:space="0" w:color="auto"/>
          </w:divBdr>
        </w:div>
        <w:div w:id="1658535434">
          <w:marLeft w:val="0"/>
          <w:marRight w:val="0"/>
          <w:marTop w:val="0"/>
          <w:marBottom w:val="0"/>
          <w:divBdr>
            <w:top w:val="none" w:sz="0" w:space="0" w:color="auto"/>
            <w:left w:val="none" w:sz="0" w:space="0" w:color="auto"/>
            <w:bottom w:val="none" w:sz="0" w:space="0" w:color="auto"/>
            <w:right w:val="none" w:sz="0" w:space="0" w:color="auto"/>
          </w:divBdr>
        </w:div>
        <w:div w:id="1716932774">
          <w:marLeft w:val="0"/>
          <w:marRight w:val="0"/>
          <w:marTop w:val="0"/>
          <w:marBottom w:val="0"/>
          <w:divBdr>
            <w:top w:val="none" w:sz="0" w:space="0" w:color="auto"/>
            <w:left w:val="none" w:sz="0" w:space="0" w:color="auto"/>
            <w:bottom w:val="none" w:sz="0" w:space="0" w:color="auto"/>
            <w:right w:val="none" w:sz="0" w:space="0" w:color="auto"/>
          </w:divBdr>
        </w:div>
        <w:div w:id="1782606764">
          <w:marLeft w:val="0"/>
          <w:marRight w:val="0"/>
          <w:marTop w:val="0"/>
          <w:marBottom w:val="0"/>
          <w:divBdr>
            <w:top w:val="none" w:sz="0" w:space="0" w:color="auto"/>
            <w:left w:val="none" w:sz="0" w:space="0" w:color="auto"/>
            <w:bottom w:val="none" w:sz="0" w:space="0" w:color="auto"/>
            <w:right w:val="none" w:sz="0" w:space="0" w:color="auto"/>
          </w:divBdr>
        </w:div>
        <w:div w:id="1853641523">
          <w:marLeft w:val="0"/>
          <w:marRight w:val="0"/>
          <w:marTop w:val="0"/>
          <w:marBottom w:val="0"/>
          <w:divBdr>
            <w:top w:val="none" w:sz="0" w:space="0" w:color="auto"/>
            <w:left w:val="none" w:sz="0" w:space="0" w:color="auto"/>
            <w:bottom w:val="none" w:sz="0" w:space="0" w:color="auto"/>
            <w:right w:val="none" w:sz="0" w:space="0" w:color="auto"/>
          </w:divBdr>
        </w:div>
        <w:div w:id="1899628806">
          <w:marLeft w:val="0"/>
          <w:marRight w:val="0"/>
          <w:marTop w:val="0"/>
          <w:marBottom w:val="0"/>
          <w:divBdr>
            <w:top w:val="none" w:sz="0" w:space="0" w:color="auto"/>
            <w:left w:val="none" w:sz="0" w:space="0" w:color="auto"/>
            <w:bottom w:val="none" w:sz="0" w:space="0" w:color="auto"/>
            <w:right w:val="none" w:sz="0" w:space="0" w:color="auto"/>
          </w:divBdr>
        </w:div>
        <w:div w:id="1918636671">
          <w:marLeft w:val="0"/>
          <w:marRight w:val="0"/>
          <w:marTop w:val="0"/>
          <w:marBottom w:val="0"/>
          <w:divBdr>
            <w:top w:val="none" w:sz="0" w:space="0" w:color="auto"/>
            <w:left w:val="none" w:sz="0" w:space="0" w:color="auto"/>
            <w:bottom w:val="none" w:sz="0" w:space="0" w:color="auto"/>
            <w:right w:val="none" w:sz="0" w:space="0" w:color="auto"/>
          </w:divBdr>
        </w:div>
        <w:div w:id="1922331930">
          <w:marLeft w:val="0"/>
          <w:marRight w:val="0"/>
          <w:marTop w:val="0"/>
          <w:marBottom w:val="0"/>
          <w:divBdr>
            <w:top w:val="none" w:sz="0" w:space="0" w:color="auto"/>
            <w:left w:val="none" w:sz="0" w:space="0" w:color="auto"/>
            <w:bottom w:val="none" w:sz="0" w:space="0" w:color="auto"/>
            <w:right w:val="none" w:sz="0" w:space="0" w:color="auto"/>
          </w:divBdr>
        </w:div>
        <w:div w:id="1927810338">
          <w:marLeft w:val="0"/>
          <w:marRight w:val="0"/>
          <w:marTop w:val="0"/>
          <w:marBottom w:val="0"/>
          <w:divBdr>
            <w:top w:val="none" w:sz="0" w:space="0" w:color="auto"/>
            <w:left w:val="none" w:sz="0" w:space="0" w:color="auto"/>
            <w:bottom w:val="none" w:sz="0" w:space="0" w:color="auto"/>
            <w:right w:val="none" w:sz="0" w:space="0" w:color="auto"/>
          </w:divBdr>
        </w:div>
        <w:div w:id="1988705801">
          <w:marLeft w:val="0"/>
          <w:marRight w:val="0"/>
          <w:marTop w:val="0"/>
          <w:marBottom w:val="0"/>
          <w:divBdr>
            <w:top w:val="none" w:sz="0" w:space="0" w:color="auto"/>
            <w:left w:val="none" w:sz="0" w:space="0" w:color="auto"/>
            <w:bottom w:val="none" w:sz="0" w:space="0" w:color="auto"/>
            <w:right w:val="none" w:sz="0" w:space="0" w:color="auto"/>
          </w:divBdr>
        </w:div>
        <w:div w:id="2000571022">
          <w:marLeft w:val="0"/>
          <w:marRight w:val="0"/>
          <w:marTop w:val="0"/>
          <w:marBottom w:val="0"/>
          <w:divBdr>
            <w:top w:val="none" w:sz="0" w:space="0" w:color="auto"/>
            <w:left w:val="none" w:sz="0" w:space="0" w:color="auto"/>
            <w:bottom w:val="none" w:sz="0" w:space="0" w:color="auto"/>
            <w:right w:val="none" w:sz="0" w:space="0" w:color="auto"/>
          </w:divBdr>
        </w:div>
        <w:div w:id="2068844279">
          <w:marLeft w:val="0"/>
          <w:marRight w:val="0"/>
          <w:marTop w:val="0"/>
          <w:marBottom w:val="0"/>
          <w:divBdr>
            <w:top w:val="none" w:sz="0" w:space="0" w:color="auto"/>
            <w:left w:val="none" w:sz="0" w:space="0" w:color="auto"/>
            <w:bottom w:val="none" w:sz="0" w:space="0" w:color="auto"/>
            <w:right w:val="none" w:sz="0" w:space="0" w:color="auto"/>
          </w:divBdr>
        </w:div>
        <w:div w:id="2085252920">
          <w:marLeft w:val="0"/>
          <w:marRight w:val="0"/>
          <w:marTop w:val="0"/>
          <w:marBottom w:val="0"/>
          <w:divBdr>
            <w:top w:val="none" w:sz="0" w:space="0" w:color="auto"/>
            <w:left w:val="none" w:sz="0" w:space="0" w:color="auto"/>
            <w:bottom w:val="none" w:sz="0" w:space="0" w:color="auto"/>
            <w:right w:val="none" w:sz="0" w:space="0" w:color="auto"/>
          </w:divBdr>
        </w:div>
        <w:div w:id="2119833487">
          <w:marLeft w:val="0"/>
          <w:marRight w:val="0"/>
          <w:marTop w:val="0"/>
          <w:marBottom w:val="0"/>
          <w:divBdr>
            <w:top w:val="none" w:sz="0" w:space="0" w:color="auto"/>
            <w:left w:val="none" w:sz="0" w:space="0" w:color="auto"/>
            <w:bottom w:val="none" w:sz="0" w:space="0" w:color="auto"/>
            <w:right w:val="none" w:sz="0" w:space="0" w:color="auto"/>
          </w:divBdr>
        </w:div>
      </w:divsChild>
    </w:div>
    <w:div w:id="704138678">
      <w:bodyDiv w:val="1"/>
      <w:marLeft w:val="0"/>
      <w:marRight w:val="0"/>
      <w:marTop w:val="0"/>
      <w:marBottom w:val="0"/>
      <w:divBdr>
        <w:top w:val="none" w:sz="0" w:space="0" w:color="auto"/>
        <w:left w:val="none" w:sz="0" w:space="0" w:color="auto"/>
        <w:bottom w:val="none" w:sz="0" w:space="0" w:color="auto"/>
        <w:right w:val="none" w:sz="0" w:space="0" w:color="auto"/>
      </w:divBdr>
    </w:div>
    <w:div w:id="734477260">
      <w:bodyDiv w:val="1"/>
      <w:marLeft w:val="0"/>
      <w:marRight w:val="0"/>
      <w:marTop w:val="0"/>
      <w:marBottom w:val="0"/>
      <w:divBdr>
        <w:top w:val="none" w:sz="0" w:space="0" w:color="auto"/>
        <w:left w:val="none" w:sz="0" w:space="0" w:color="auto"/>
        <w:bottom w:val="none" w:sz="0" w:space="0" w:color="auto"/>
        <w:right w:val="none" w:sz="0" w:space="0" w:color="auto"/>
      </w:divBdr>
    </w:div>
    <w:div w:id="763067361">
      <w:bodyDiv w:val="1"/>
      <w:marLeft w:val="0"/>
      <w:marRight w:val="0"/>
      <w:marTop w:val="0"/>
      <w:marBottom w:val="0"/>
      <w:divBdr>
        <w:top w:val="none" w:sz="0" w:space="0" w:color="auto"/>
        <w:left w:val="none" w:sz="0" w:space="0" w:color="auto"/>
        <w:bottom w:val="none" w:sz="0" w:space="0" w:color="auto"/>
        <w:right w:val="none" w:sz="0" w:space="0" w:color="auto"/>
      </w:divBdr>
      <w:divsChild>
        <w:div w:id="7031339">
          <w:marLeft w:val="0"/>
          <w:marRight w:val="0"/>
          <w:marTop w:val="0"/>
          <w:marBottom w:val="0"/>
          <w:divBdr>
            <w:top w:val="none" w:sz="0" w:space="0" w:color="auto"/>
            <w:left w:val="none" w:sz="0" w:space="0" w:color="auto"/>
            <w:bottom w:val="none" w:sz="0" w:space="0" w:color="auto"/>
            <w:right w:val="none" w:sz="0" w:space="0" w:color="auto"/>
          </w:divBdr>
        </w:div>
        <w:div w:id="60907526">
          <w:marLeft w:val="0"/>
          <w:marRight w:val="0"/>
          <w:marTop w:val="0"/>
          <w:marBottom w:val="0"/>
          <w:divBdr>
            <w:top w:val="none" w:sz="0" w:space="0" w:color="auto"/>
            <w:left w:val="none" w:sz="0" w:space="0" w:color="auto"/>
            <w:bottom w:val="none" w:sz="0" w:space="0" w:color="auto"/>
            <w:right w:val="none" w:sz="0" w:space="0" w:color="auto"/>
          </w:divBdr>
        </w:div>
        <w:div w:id="149102759">
          <w:marLeft w:val="0"/>
          <w:marRight w:val="0"/>
          <w:marTop w:val="0"/>
          <w:marBottom w:val="0"/>
          <w:divBdr>
            <w:top w:val="none" w:sz="0" w:space="0" w:color="auto"/>
            <w:left w:val="none" w:sz="0" w:space="0" w:color="auto"/>
            <w:bottom w:val="none" w:sz="0" w:space="0" w:color="auto"/>
            <w:right w:val="none" w:sz="0" w:space="0" w:color="auto"/>
          </w:divBdr>
        </w:div>
        <w:div w:id="162863275">
          <w:marLeft w:val="0"/>
          <w:marRight w:val="0"/>
          <w:marTop w:val="0"/>
          <w:marBottom w:val="0"/>
          <w:divBdr>
            <w:top w:val="none" w:sz="0" w:space="0" w:color="auto"/>
            <w:left w:val="none" w:sz="0" w:space="0" w:color="auto"/>
            <w:bottom w:val="none" w:sz="0" w:space="0" w:color="auto"/>
            <w:right w:val="none" w:sz="0" w:space="0" w:color="auto"/>
          </w:divBdr>
        </w:div>
        <w:div w:id="182285098">
          <w:marLeft w:val="0"/>
          <w:marRight w:val="0"/>
          <w:marTop w:val="0"/>
          <w:marBottom w:val="0"/>
          <w:divBdr>
            <w:top w:val="none" w:sz="0" w:space="0" w:color="auto"/>
            <w:left w:val="none" w:sz="0" w:space="0" w:color="auto"/>
            <w:bottom w:val="none" w:sz="0" w:space="0" w:color="auto"/>
            <w:right w:val="none" w:sz="0" w:space="0" w:color="auto"/>
          </w:divBdr>
        </w:div>
        <w:div w:id="271013809">
          <w:marLeft w:val="0"/>
          <w:marRight w:val="0"/>
          <w:marTop w:val="0"/>
          <w:marBottom w:val="0"/>
          <w:divBdr>
            <w:top w:val="none" w:sz="0" w:space="0" w:color="auto"/>
            <w:left w:val="none" w:sz="0" w:space="0" w:color="auto"/>
            <w:bottom w:val="none" w:sz="0" w:space="0" w:color="auto"/>
            <w:right w:val="none" w:sz="0" w:space="0" w:color="auto"/>
          </w:divBdr>
        </w:div>
        <w:div w:id="349569439">
          <w:marLeft w:val="0"/>
          <w:marRight w:val="0"/>
          <w:marTop w:val="0"/>
          <w:marBottom w:val="0"/>
          <w:divBdr>
            <w:top w:val="none" w:sz="0" w:space="0" w:color="auto"/>
            <w:left w:val="none" w:sz="0" w:space="0" w:color="auto"/>
            <w:bottom w:val="none" w:sz="0" w:space="0" w:color="auto"/>
            <w:right w:val="none" w:sz="0" w:space="0" w:color="auto"/>
          </w:divBdr>
        </w:div>
        <w:div w:id="373772404">
          <w:marLeft w:val="0"/>
          <w:marRight w:val="0"/>
          <w:marTop w:val="0"/>
          <w:marBottom w:val="0"/>
          <w:divBdr>
            <w:top w:val="none" w:sz="0" w:space="0" w:color="auto"/>
            <w:left w:val="none" w:sz="0" w:space="0" w:color="auto"/>
            <w:bottom w:val="none" w:sz="0" w:space="0" w:color="auto"/>
            <w:right w:val="none" w:sz="0" w:space="0" w:color="auto"/>
          </w:divBdr>
        </w:div>
        <w:div w:id="391975627">
          <w:marLeft w:val="0"/>
          <w:marRight w:val="0"/>
          <w:marTop w:val="0"/>
          <w:marBottom w:val="0"/>
          <w:divBdr>
            <w:top w:val="none" w:sz="0" w:space="0" w:color="auto"/>
            <w:left w:val="none" w:sz="0" w:space="0" w:color="auto"/>
            <w:bottom w:val="none" w:sz="0" w:space="0" w:color="auto"/>
            <w:right w:val="none" w:sz="0" w:space="0" w:color="auto"/>
          </w:divBdr>
        </w:div>
        <w:div w:id="416757292">
          <w:marLeft w:val="0"/>
          <w:marRight w:val="0"/>
          <w:marTop w:val="0"/>
          <w:marBottom w:val="0"/>
          <w:divBdr>
            <w:top w:val="none" w:sz="0" w:space="0" w:color="auto"/>
            <w:left w:val="none" w:sz="0" w:space="0" w:color="auto"/>
            <w:bottom w:val="none" w:sz="0" w:space="0" w:color="auto"/>
            <w:right w:val="none" w:sz="0" w:space="0" w:color="auto"/>
          </w:divBdr>
        </w:div>
        <w:div w:id="479658687">
          <w:marLeft w:val="0"/>
          <w:marRight w:val="0"/>
          <w:marTop w:val="0"/>
          <w:marBottom w:val="0"/>
          <w:divBdr>
            <w:top w:val="none" w:sz="0" w:space="0" w:color="auto"/>
            <w:left w:val="none" w:sz="0" w:space="0" w:color="auto"/>
            <w:bottom w:val="none" w:sz="0" w:space="0" w:color="auto"/>
            <w:right w:val="none" w:sz="0" w:space="0" w:color="auto"/>
          </w:divBdr>
        </w:div>
        <w:div w:id="534462874">
          <w:marLeft w:val="0"/>
          <w:marRight w:val="0"/>
          <w:marTop w:val="0"/>
          <w:marBottom w:val="0"/>
          <w:divBdr>
            <w:top w:val="none" w:sz="0" w:space="0" w:color="auto"/>
            <w:left w:val="none" w:sz="0" w:space="0" w:color="auto"/>
            <w:bottom w:val="none" w:sz="0" w:space="0" w:color="auto"/>
            <w:right w:val="none" w:sz="0" w:space="0" w:color="auto"/>
          </w:divBdr>
        </w:div>
        <w:div w:id="537208699">
          <w:marLeft w:val="0"/>
          <w:marRight w:val="0"/>
          <w:marTop w:val="0"/>
          <w:marBottom w:val="0"/>
          <w:divBdr>
            <w:top w:val="none" w:sz="0" w:space="0" w:color="auto"/>
            <w:left w:val="none" w:sz="0" w:space="0" w:color="auto"/>
            <w:bottom w:val="none" w:sz="0" w:space="0" w:color="auto"/>
            <w:right w:val="none" w:sz="0" w:space="0" w:color="auto"/>
          </w:divBdr>
        </w:div>
        <w:div w:id="587156270">
          <w:marLeft w:val="0"/>
          <w:marRight w:val="0"/>
          <w:marTop w:val="0"/>
          <w:marBottom w:val="0"/>
          <w:divBdr>
            <w:top w:val="none" w:sz="0" w:space="0" w:color="auto"/>
            <w:left w:val="none" w:sz="0" w:space="0" w:color="auto"/>
            <w:bottom w:val="none" w:sz="0" w:space="0" w:color="auto"/>
            <w:right w:val="none" w:sz="0" w:space="0" w:color="auto"/>
          </w:divBdr>
        </w:div>
        <w:div w:id="632633593">
          <w:marLeft w:val="0"/>
          <w:marRight w:val="0"/>
          <w:marTop w:val="0"/>
          <w:marBottom w:val="0"/>
          <w:divBdr>
            <w:top w:val="none" w:sz="0" w:space="0" w:color="auto"/>
            <w:left w:val="none" w:sz="0" w:space="0" w:color="auto"/>
            <w:bottom w:val="none" w:sz="0" w:space="0" w:color="auto"/>
            <w:right w:val="none" w:sz="0" w:space="0" w:color="auto"/>
          </w:divBdr>
        </w:div>
        <w:div w:id="650183136">
          <w:marLeft w:val="0"/>
          <w:marRight w:val="0"/>
          <w:marTop w:val="0"/>
          <w:marBottom w:val="0"/>
          <w:divBdr>
            <w:top w:val="none" w:sz="0" w:space="0" w:color="auto"/>
            <w:left w:val="none" w:sz="0" w:space="0" w:color="auto"/>
            <w:bottom w:val="none" w:sz="0" w:space="0" w:color="auto"/>
            <w:right w:val="none" w:sz="0" w:space="0" w:color="auto"/>
          </w:divBdr>
        </w:div>
        <w:div w:id="687677085">
          <w:marLeft w:val="0"/>
          <w:marRight w:val="0"/>
          <w:marTop w:val="0"/>
          <w:marBottom w:val="0"/>
          <w:divBdr>
            <w:top w:val="none" w:sz="0" w:space="0" w:color="auto"/>
            <w:left w:val="none" w:sz="0" w:space="0" w:color="auto"/>
            <w:bottom w:val="none" w:sz="0" w:space="0" w:color="auto"/>
            <w:right w:val="none" w:sz="0" w:space="0" w:color="auto"/>
          </w:divBdr>
        </w:div>
        <w:div w:id="800659212">
          <w:marLeft w:val="0"/>
          <w:marRight w:val="0"/>
          <w:marTop w:val="0"/>
          <w:marBottom w:val="0"/>
          <w:divBdr>
            <w:top w:val="none" w:sz="0" w:space="0" w:color="auto"/>
            <w:left w:val="none" w:sz="0" w:space="0" w:color="auto"/>
            <w:bottom w:val="none" w:sz="0" w:space="0" w:color="auto"/>
            <w:right w:val="none" w:sz="0" w:space="0" w:color="auto"/>
          </w:divBdr>
        </w:div>
        <w:div w:id="817965619">
          <w:marLeft w:val="0"/>
          <w:marRight w:val="0"/>
          <w:marTop w:val="0"/>
          <w:marBottom w:val="0"/>
          <w:divBdr>
            <w:top w:val="none" w:sz="0" w:space="0" w:color="auto"/>
            <w:left w:val="none" w:sz="0" w:space="0" w:color="auto"/>
            <w:bottom w:val="none" w:sz="0" w:space="0" w:color="auto"/>
            <w:right w:val="none" w:sz="0" w:space="0" w:color="auto"/>
          </w:divBdr>
        </w:div>
        <w:div w:id="874924443">
          <w:marLeft w:val="0"/>
          <w:marRight w:val="0"/>
          <w:marTop w:val="0"/>
          <w:marBottom w:val="0"/>
          <w:divBdr>
            <w:top w:val="none" w:sz="0" w:space="0" w:color="auto"/>
            <w:left w:val="none" w:sz="0" w:space="0" w:color="auto"/>
            <w:bottom w:val="none" w:sz="0" w:space="0" w:color="auto"/>
            <w:right w:val="none" w:sz="0" w:space="0" w:color="auto"/>
          </w:divBdr>
        </w:div>
        <w:div w:id="916285093">
          <w:marLeft w:val="0"/>
          <w:marRight w:val="0"/>
          <w:marTop w:val="0"/>
          <w:marBottom w:val="0"/>
          <w:divBdr>
            <w:top w:val="none" w:sz="0" w:space="0" w:color="auto"/>
            <w:left w:val="none" w:sz="0" w:space="0" w:color="auto"/>
            <w:bottom w:val="none" w:sz="0" w:space="0" w:color="auto"/>
            <w:right w:val="none" w:sz="0" w:space="0" w:color="auto"/>
          </w:divBdr>
        </w:div>
        <w:div w:id="947659150">
          <w:marLeft w:val="0"/>
          <w:marRight w:val="0"/>
          <w:marTop w:val="0"/>
          <w:marBottom w:val="0"/>
          <w:divBdr>
            <w:top w:val="none" w:sz="0" w:space="0" w:color="auto"/>
            <w:left w:val="none" w:sz="0" w:space="0" w:color="auto"/>
            <w:bottom w:val="none" w:sz="0" w:space="0" w:color="auto"/>
            <w:right w:val="none" w:sz="0" w:space="0" w:color="auto"/>
          </w:divBdr>
        </w:div>
        <w:div w:id="967128037">
          <w:marLeft w:val="0"/>
          <w:marRight w:val="0"/>
          <w:marTop w:val="0"/>
          <w:marBottom w:val="0"/>
          <w:divBdr>
            <w:top w:val="none" w:sz="0" w:space="0" w:color="auto"/>
            <w:left w:val="none" w:sz="0" w:space="0" w:color="auto"/>
            <w:bottom w:val="none" w:sz="0" w:space="0" w:color="auto"/>
            <w:right w:val="none" w:sz="0" w:space="0" w:color="auto"/>
          </w:divBdr>
        </w:div>
        <w:div w:id="1050878619">
          <w:marLeft w:val="0"/>
          <w:marRight w:val="0"/>
          <w:marTop w:val="0"/>
          <w:marBottom w:val="0"/>
          <w:divBdr>
            <w:top w:val="none" w:sz="0" w:space="0" w:color="auto"/>
            <w:left w:val="none" w:sz="0" w:space="0" w:color="auto"/>
            <w:bottom w:val="none" w:sz="0" w:space="0" w:color="auto"/>
            <w:right w:val="none" w:sz="0" w:space="0" w:color="auto"/>
          </w:divBdr>
        </w:div>
        <w:div w:id="1098868293">
          <w:marLeft w:val="0"/>
          <w:marRight w:val="0"/>
          <w:marTop w:val="0"/>
          <w:marBottom w:val="0"/>
          <w:divBdr>
            <w:top w:val="none" w:sz="0" w:space="0" w:color="auto"/>
            <w:left w:val="none" w:sz="0" w:space="0" w:color="auto"/>
            <w:bottom w:val="none" w:sz="0" w:space="0" w:color="auto"/>
            <w:right w:val="none" w:sz="0" w:space="0" w:color="auto"/>
          </w:divBdr>
        </w:div>
        <w:div w:id="1137574291">
          <w:marLeft w:val="0"/>
          <w:marRight w:val="0"/>
          <w:marTop w:val="0"/>
          <w:marBottom w:val="0"/>
          <w:divBdr>
            <w:top w:val="none" w:sz="0" w:space="0" w:color="auto"/>
            <w:left w:val="none" w:sz="0" w:space="0" w:color="auto"/>
            <w:bottom w:val="none" w:sz="0" w:space="0" w:color="auto"/>
            <w:right w:val="none" w:sz="0" w:space="0" w:color="auto"/>
          </w:divBdr>
        </w:div>
        <w:div w:id="1175848041">
          <w:marLeft w:val="0"/>
          <w:marRight w:val="0"/>
          <w:marTop w:val="0"/>
          <w:marBottom w:val="0"/>
          <w:divBdr>
            <w:top w:val="none" w:sz="0" w:space="0" w:color="auto"/>
            <w:left w:val="none" w:sz="0" w:space="0" w:color="auto"/>
            <w:bottom w:val="none" w:sz="0" w:space="0" w:color="auto"/>
            <w:right w:val="none" w:sz="0" w:space="0" w:color="auto"/>
          </w:divBdr>
        </w:div>
        <w:div w:id="1186553552">
          <w:marLeft w:val="0"/>
          <w:marRight w:val="0"/>
          <w:marTop w:val="0"/>
          <w:marBottom w:val="0"/>
          <w:divBdr>
            <w:top w:val="none" w:sz="0" w:space="0" w:color="auto"/>
            <w:left w:val="none" w:sz="0" w:space="0" w:color="auto"/>
            <w:bottom w:val="none" w:sz="0" w:space="0" w:color="auto"/>
            <w:right w:val="none" w:sz="0" w:space="0" w:color="auto"/>
          </w:divBdr>
        </w:div>
        <w:div w:id="1284075491">
          <w:marLeft w:val="0"/>
          <w:marRight w:val="0"/>
          <w:marTop w:val="0"/>
          <w:marBottom w:val="0"/>
          <w:divBdr>
            <w:top w:val="none" w:sz="0" w:space="0" w:color="auto"/>
            <w:left w:val="none" w:sz="0" w:space="0" w:color="auto"/>
            <w:bottom w:val="none" w:sz="0" w:space="0" w:color="auto"/>
            <w:right w:val="none" w:sz="0" w:space="0" w:color="auto"/>
          </w:divBdr>
        </w:div>
        <w:div w:id="1376193294">
          <w:marLeft w:val="0"/>
          <w:marRight w:val="0"/>
          <w:marTop w:val="0"/>
          <w:marBottom w:val="0"/>
          <w:divBdr>
            <w:top w:val="none" w:sz="0" w:space="0" w:color="auto"/>
            <w:left w:val="none" w:sz="0" w:space="0" w:color="auto"/>
            <w:bottom w:val="none" w:sz="0" w:space="0" w:color="auto"/>
            <w:right w:val="none" w:sz="0" w:space="0" w:color="auto"/>
          </w:divBdr>
        </w:div>
        <w:div w:id="1444812480">
          <w:marLeft w:val="0"/>
          <w:marRight w:val="0"/>
          <w:marTop w:val="0"/>
          <w:marBottom w:val="0"/>
          <w:divBdr>
            <w:top w:val="none" w:sz="0" w:space="0" w:color="auto"/>
            <w:left w:val="none" w:sz="0" w:space="0" w:color="auto"/>
            <w:bottom w:val="none" w:sz="0" w:space="0" w:color="auto"/>
            <w:right w:val="none" w:sz="0" w:space="0" w:color="auto"/>
          </w:divBdr>
        </w:div>
        <w:div w:id="1450783992">
          <w:marLeft w:val="0"/>
          <w:marRight w:val="0"/>
          <w:marTop w:val="0"/>
          <w:marBottom w:val="0"/>
          <w:divBdr>
            <w:top w:val="none" w:sz="0" w:space="0" w:color="auto"/>
            <w:left w:val="none" w:sz="0" w:space="0" w:color="auto"/>
            <w:bottom w:val="none" w:sz="0" w:space="0" w:color="auto"/>
            <w:right w:val="none" w:sz="0" w:space="0" w:color="auto"/>
          </w:divBdr>
        </w:div>
        <w:div w:id="1465078483">
          <w:marLeft w:val="0"/>
          <w:marRight w:val="0"/>
          <w:marTop w:val="0"/>
          <w:marBottom w:val="0"/>
          <w:divBdr>
            <w:top w:val="none" w:sz="0" w:space="0" w:color="auto"/>
            <w:left w:val="none" w:sz="0" w:space="0" w:color="auto"/>
            <w:bottom w:val="none" w:sz="0" w:space="0" w:color="auto"/>
            <w:right w:val="none" w:sz="0" w:space="0" w:color="auto"/>
          </w:divBdr>
        </w:div>
        <w:div w:id="1521161760">
          <w:marLeft w:val="0"/>
          <w:marRight w:val="0"/>
          <w:marTop w:val="0"/>
          <w:marBottom w:val="0"/>
          <w:divBdr>
            <w:top w:val="none" w:sz="0" w:space="0" w:color="auto"/>
            <w:left w:val="none" w:sz="0" w:space="0" w:color="auto"/>
            <w:bottom w:val="none" w:sz="0" w:space="0" w:color="auto"/>
            <w:right w:val="none" w:sz="0" w:space="0" w:color="auto"/>
          </w:divBdr>
        </w:div>
        <w:div w:id="1569414459">
          <w:marLeft w:val="0"/>
          <w:marRight w:val="0"/>
          <w:marTop w:val="0"/>
          <w:marBottom w:val="0"/>
          <w:divBdr>
            <w:top w:val="none" w:sz="0" w:space="0" w:color="auto"/>
            <w:left w:val="none" w:sz="0" w:space="0" w:color="auto"/>
            <w:bottom w:val="none" w:sz="0" w:space="0" w:color="auto"/>
            <w:right w:val="none" w:sz="0" w:space="0" w:color="auto"/>
          </w:divBdr>
        </w:div>
        <w:div w:id="1615285326">
          <w:marLeft w:val="0"/>
          <w:marRight w:val="0"/>
          <w:marTop w:val="0"/>
          <w:marBottom w:val="0"/>
          <w:divBdr>
            <w:top w:val="none" w:sz="0" w:space="0" w:color="auto"/>
            <w:left w:val="none" w:sz="0" w:space="0" w:color="auto"/>
            <w:bottom w:val="none" w:sz="0" w:space="0" w:color="auto"/>
            <w:right w:val="none" w:sz="0" w:space="0" w:color="auto"/>
          </w:divBdr>
        </w:div>
        <w:div w:id="1635408821">
          <w:marLeft w:val="0"/>
          <w:marRight w:val="0"/>
          <w:marTop w:val="0"/>
          <w:marBottom w:val="0"/>
          <w:divBdr>
            <w:top w:val="none" w:sz="0" w:space="0" w:color="auto"/>
            <w:left w:val="none" w:sz="0" w:space="0" w:color="auto"/>
            <w:bottom w:val="none" w:sz="0" w:space="0" w:color="auto"/>
            <w:right w:val="none" w:sz="0" w:space="0" w:color="auto"/>
          </w:divBdr>
        </w:div>
        <w:div w:id="1663240773">
          <w:marLeft w:val="0"/>
          <w:marRight w:val="0"/>
          <w:marTop w:val="0"/>
          <w:marBottom w:val="0"/>
          <w:divBdr>
            <w:top w:val="none" w:sz="0" w:space="0" w:color="auto"/>
            <w:left w:val="none" w:sz="0" w:space="0" w:color="auto"/>
            <w:bottom w:val="none" w:sz="0" w:space="0" w:color="auto"/>
            <w:right w:val="none" w:sz="0" w:space="0" w:color="auto"/>
          </w:divBdr>
        </w:div>
        <w:div w:id="1686789763">
          <w:marLeft w:val="0"/>
          <w:marRight w:val="0"/>
          <w:marTop w:val="0"/>
          <w:marBottom w:val="0"/>
          <w:divBdr>
            <w:top w:val="none" w:sz="0" w:space="0" w:color="auto"/>
            <w:left w:val="none" w:sz="0" w:space="0" w:color="auto"/>
            <w:bottom w:val="none" w:sz="0" w:space="0" w:color="auto"/>
            <w:right w:val="none" w:sz="0" w:space="0" w:color="auto"/>
          </w:divBdr>
        </w:div>
        <w:div w:id="1773209714">
          <w:marLeft w:val="0"/>
          <w:marRight w:val="0"/>
          <w:marTop w:val="0"/>
          <w:marBottom w:val="0"/>
          <w:divBdr>
            <w:top w:val="none" w:sz="0" w:space="0" w:color="auto"/>
            <w:left w:val="none" w:sz="0" w:space="0" w:color="auto"/>
            <w:bottom w:val="none" w:sz="0" w:space="0" w:color="auto"/>
            <w:right w:val="none" w:sz="0" w:space="0" w:color="auto"/>
          </w:divBdr>
        </w:div>
        <w:div w:id="1819347271">
          <w:marLeft w:val="0"/>
          <w:marRight w:val="0"/>
          <w:marTop w:val="0"/>
          <w:marBottom w:val="0"/>
          <w:divBdr>
            <w:top w:val="none" w:sz="0" w:space="0" w:color="auto"/>
            <w:left w:val="none" w:sz="0" w:space="0" w:color="auto"/>
            <w:bottom w:val="none" w:sz="0" w:space="0" w:color="auto"/>
            <w:right w:val="none" w:sz="0" w:space="0" w:color="auto"/>
          </w:divBdr>
        </w:div>
        <w:div w:id="1900558303">
          <w:marLeft w:val="0"/>
          <w:marRight w:val="0"/>
          <w:marTop w:val="0"/>
          <w:marBottom w:val="0"/>
          <w:divBdr>
            <w:top w:val="none" w:sz="0" w:space="0" w:color="auto"/>
            <w:left w:val="none" w:sz="0" w:space="0" w:color="auto"/>
            <w:bottom w:val="none" w:sz="0" w:space="0" w:color="auto"/>
            <w:right w:val="none" w:sz="0" w:space="0" w:color="auto"/>
          </w:divBdr>
        </w:div>
        <w:div w:id="1912353607">
          <w:marLeft w:val="0"/>
          <w:marRight w:val="0"/>
          <w:marTop w:val="0"/>
          <w:marBottom w:val="0"/>
          <w:divBdr>
            <w:top w:val="none" w:sz="0" w:space="0" w:color="auto"/>
            <w:left w:val="none" w:sz="0" w:space="0" w:color="auto"/>
            <w:bottom w:val="none" w:sz="0" w:space="0" w:color="auto"/>
            <w:right w:val="none" w:sz="0" w:space="0" w:color="auto"/>
          </w:divBdr>
        </w:div>
        <w:div w:id="1913393396">
          <w:marLeft w:val="0"/>
          <w:marRight w:val="0"/>
          <w:marTop w:val="0"/>
          <w:marBottom w:val="0"/>
          <w:divBdr>
            <w:top w:val="none" w:sz="0" w:space="0" w:color="auto"/>
            <w:left w:val="none" w:sz="0" w:space="0" w:color="auto"/>
            <w:bottom w:val="none" w:sz="0" w:space="0" w:color="auto"/>
            <w:right w:val="none" w:sz="0" w:space="0" w:color="auto"/>
          </w:divBdr>
        </w:div>
        <w:div w:id="1977448961">
          <w:marLeft w:val="0"/>
          <w:marRight w:val="0"/>
          <w:marTop w:val="0"/>
          <w:marBottom w:val="0"/>
          <w:divBdr>
            <w:top w:val="none" w:sz="0" w:space="0" w:color="auto"/>
            <w:left w:val="none" w:sz="0" w:space="0" w:color="auto"/>
            <w:bottom w:val="none" w:sz="0" w:space="0" w:color="auto"/>
            <w:right w:val="none" w:sz="0" w:space="0" w:color="auto"/>
          </w:divBdr>
        </w:div>
        <w:div w:id="2021852374">
          <w:marLeft w:val="0"/>
          <w:marRight w:val="0"/>
          <w:marTop w:val="0"/>
          <w:marBottom w:val="0"/>
          <w:divBdr>
            <w:top w:val="none" w:sz="0" w:space="0" w:color="auto"/>
            <w:left w:val="none" w:sz="0" w:space="0" w:color="auto"/>
            <w:bottom w:val="none" w:sz="0" w:space="0" w:color="auto"/>
            <w:right w:val="none" w:sz="0" w:space="0" w:color="auto"/>
          </w:divBdr>
        </w:div>
        <w:div w:id="2028829902">
          <w:marLeft w:val="0"/>
          <w:marRight w:val="0"/>
          <w:marTop w:val="0"/>
          <w:marBottom w:val="0"/>
          <w:divBdr>
            <w:top w:val="none" w:sz="0" w:space="0" w:color="auto"/>
            <w:left w:val="none" w:sz="0" w:space="0" w:color="auto"/>
            <w:bottom w:val="none" w:sz="0" w:space="0" w:color="auto"/>
            <w:right w:val="none" w:sz="0" w:space="0" w:color="auto"/>
          </w:divBdr>
        </w:div>
        <w:div w:id="2035374979">
          <w:marLeft w:val="0"/>
          <w:marRight w:val="0"/>
          <w:marTop w:val="0"/>
          <w:marBottom w:val="0"/>
          <w:divBdr>
            <w:top w:val="none" w:sz="0" w:space="0" w:color="auto"/>
            <w:left w:val="none" w:sz="0" w:space="0" w:color="auto"/>
            <w:bottom w:val="none" w:sz="0" w:space="0" w:color="auto"/>
            <w:right w:val="none" w:sz="0" w:space="0" w:color="auto"/>
          </w:divBdr>
        </w:div>
        <w:div w:id="2055695443">
          <w:marLeft w:val="0"/>
          <w:marRight w:val="0"/>
          <w:marTop w:val="0"/>
          <w:marBottom w:val="0"/>
          <w:divBdr>
            <w:top w:val="none" w:sz="0" w:space="0" w:color="auto"/>
            <w:left w:val="none" w:sz="0" w:space="0" w:color="auto"/>
            <w:bottom w:val="none" w:sz="0" w:space="0" w:color="auto"/>
            <w:right w:val="none" w:sz="0" w:space="0" w:color="auto"/>
          </w:divBdr>
        </w:div>
        <w:div w:id="2055962203">
          <w:marLeft w:val="0"/>
          <w:marRight w:val="0"/>
          <w:marTop w:val="0"/>
          <w:marBottom w:val="0"/>
          <w:divBdr>
            <w:top w:val="none" w:sz="0" w:space="0" w:color="auto"/>
            <w:left w:val="none" w:sz="0" w:space="0" w:color="auto"/>
            <w:bottom w:val="none" w:sz="0" w:space="0" w:color="auto"/>
            <w:right w:val="none" w:sz="0" w:space="0" w:color="auto"/>
          </w:divBdr>
        </w:div>
        <w:div w:id="2062241444">
          <w:marLeft w:val="0"/>
          <w:marRight w:val="0"/>
          <w:marTop w:val="0"/>
          <w:marBottom w:val="0"/>
          <w:divBdr>
            <w:top w:val="none" w:sz="0" w:space="0" w:color="auto"/>
            <w:left w:val="none" w:sz="0" w:space="0" w:color="auto"/>
            <w:bottom w:val="none" w:sz="0" w:space="0" w:color="auto"/>
            <w:right w:val="none" w:sz="0" w:space="0" w:color="auto"/>
          </w:divBdr>
        </w:div>
        <w:div w:id="2066488693">
          <w:marLeft w:val="0"/>
          <w:marRight w:val="0"/>
          <w:marTop w:val="0"/>
          <w:marBottom w:val="0"/>
          <w:divBdr>
            <w:top w:val="none" w:sz="0" w:space="0" w:color="auto"/>
            <w:left w:val="none" w:sz="0" w:space="0" w:color="auto"/>
            <w:bottom w:val="none" w:sz="0" w:space="0" w:color="auto"/>
            <w:right w:val="none" w:sz="0" w:space="0" w:color="auto"/>
          </w:divBdr>
        </w:div>
        <w:div w:id="2136172913">
          <w:marLeft w:val="0"/>
          <w:marRight w:val="0"/>
          <w:marTop w:val="0"/>
          <w:marBottom w:val="0"/>
          <w:divBdr>
            <w:top w:val="none" w:sz="0" w:space="0" w:color="auto"/>
            <w:left w:val="none" w:sz="0" w:space="0" w:color="auto"/>
            <w:bottom w:val="none" w:sz="0" w:space="0" w:color="auto"/>
            <w:right w:val="none" w:sz="0" w:space="0" w:color="auto"/>
          </w:divBdr>
        </w:div>
      </w:divsChild>
    </w:div>
    <w:div w:id="770734578">
      <w:bodyDiv w:val="1"/>
      <w:marLeft w:val="0"/>
      <w:marRight w:val="0"/>
      <w:marTop w:val="0"/>
      <w:marBottom w:val="0"/>
      <w:divBdr>
        <w:top w:val="none" w:sz="0" w:space="0" w:color="auto"/>
        <w:left w:val="none" w:sz="0" w:space="0" w:color="auto"/>
        <w:bottom w:val="none" w:sz="0" w:space="0" w:color="auto"/>
        <w:right w:val="none" w:sz="0" w:space="0" w:color="auto"/>
      </w:divBdr>
    </w:div>
    <w:div w:id="815873277">
      <w:bodyDiv w:val="1"/>
      <w:marLeft w:val="0"/>
      <w:marRight w:val="0"/>
      <w:marTop w:val="0"/>
      <w:marBottom w:val="0"/>
      <w:divBdr>
        <w:top w:val="none" w:sz="0" w:space="0" w:color="auto"/>
        <w:left w:val="none" w:sz="0" w:space="0" w:color="auto"/>
        <w:bottom w:val="none" w:sz="0" w:space="0" w:color="auto"/>
        <w:right w:val="none" w:sz="0" w:space="0" w:color="auto"/>
      </w:divBdr>
    </w:div>
    <w:div w:id="826016091">
      <w:bodyDiv w:val="1"/>
      <w:marLeft w:val="0"/>
      <w:marRight w:val="0"/>
      <w:marTop w:val="0"/>
      <w:marBottom w:val="0"/>
      <w:divBdr>
        <w:top w:val="none" w:sz="0" w:space="0" w:color="auto"/>
        <w:left w:val="none" w:sz="0" w:space="0" w:color="auto"/>
        <w:bottom w:val="none" w:sz="0" w:space="0" w:color="auto"/>
        <w:right w:val="none" w:sz="0" w:space="0" w:color="auto"/>
      </w:divBdr>
    </w:div>
    <w:div w:id="935790291">
      <w:bodyDiv w:val="1"/>
      <w:marLeft w:val="0"/>
      <w:marRight w:val="0"/>
      <w:marTop w:val="0"/>
      <w:marBottom w:val="0"/>
      <w:divBdr>
        <w:top w:val="none" w:sz="0" w:space="0" w:color="auto"/>
        <w:left w:val="none" w:sz="0" w:space="0" w:color="auto"/>
        <w:bottom w:val="none" w:sz="0" w:space="0" w:color="auto"/>
        <w:right w:val="none" w:sz="0" w:space="0" w:color="auto"/>
      </w:divBdr>
    </w:div>
    <w:div w:id="994606437">
      <w:bodyDiv w:val="1"/>
      <w:marLeft w:val="0"/>
      <w:marRight w:val="0"/>
      <w:marTop w:val="0"/>
      <w:marBottom w:val="0"/>
      <w:divBdr>
        <w:top w:val="none" w:sz="0" w:space="0" w:color="auto"/>
        <w:left w:val="none" w:sz="0" w:space="0" w:color="auto"/>
        <w:bottom w:val="none" w:sz="0" w:space="0" w:color="auto"/>
        <w:right w:val="none" w:sz="0" w:space="0" w:color="auto"/>
      </w:divBdr>
      <w:divsChild>
        <w:div w:id="24448306">
          <w:marLeft w:val="0"/>
          <w:marRight w:val="0"/>
          <w:marTop w:val="0"/>
          <w:marBottom w:val="0"/>
          <w:divBdr>
            <w:top w:val="none" w:sz="0" w:space="0" w:color="auto"/>
            <w:left w:val="none" w:sz="0" w:space="0" w:color="auto"/>
            <w:bottom w:val="none" w:sz="0" w:space="0" w:color="auto"/>
            <w:right w:val="none" w:sz="0" w:space="0" w:color="auto"/>
          </w:divBdr>
        </w:div>
      </w:divsChild>
    </w:div>
    <w:div w:id="1008756766">
      <w:bodyDiv w:val="1"/>
      <w:marLeft w:val="0"/>
      <w:marRight w:val="0"/>
      <w:marTop w:val="0"/>
      <w:marBottom w:val="0"/>
      <w:divBdr>
        <w:top w:val="none" w:sz="0" w:space="0" w:color="auto"/>
        <w:left w:val="none" w:sz="0" w:space="0" w:color="auto"/>
        <w:bottom w:val="none" w:sz="0" w:space="0" w:color="auto"/>
        <w:right w:val="none" w:sz="0" w:space="0" w:color="auto"/>
      </w:divBdr>
    </w:div>
    <w:div w:id="1045713600">
      <w:bodyDiv w:val="1"/>
      <w:marLeft w:val="0"/>
      <w:marRight w:val="0"/>
      <w:marTop w:val="0"/>
      <w:marBottom w:val="0"/>
      <w:divBdr>
        <w:top w:val="none" w:sz="0" w:space="0" w:color="auto"/>
        <w:left w:val="none" w:sz="0" w:space="0" w:color="auto"/>
        <w:bottom w:val="none" w:sz="0" w:space="0" w:color="auto"/>
        <w:right w:val="none" w:sz="0" w:space="0" w:color="auto"/>
      </w:divBdr>
      <w:divsChild>
        <w:div w:id="833835332">
          <w:marLeft w:val="0"/>
          <w:marRight w:val="0"/>
          <w:marTop w:val="0"/>
          <w:marBottom w:val="0"/>
          <w:divBdr>
            <w:top w:val="none" w:sz="0" w:space="0" w:color="auto"/>
            <w:left w:val="none" w:sz="0" w:space="0" w:color="auto"/>
            <w:bottom w:val="none" w:sz="0" w:space="0" w:color="auto"/>
            <w:right w:val="none" w:sz="0" w:space="0" w:color="auto"/>
          </w:divBdr>
        </w:div>
      </w:divsChild>
    </w:div>
    <w:div w:id="1140731119">
      <w:bodyDiv w:val="1"/>
      <w:marLeft w:val="0"/>
      <w:marRight w:val="0"/>
      <w:marTop w:val="0"/>
      <w:marBottom w:val="0"/>
      <w:divBdr>
        <w:top w:val="none" w:sz="0" w:space="0" w:color="auto"/>
        <w:left w:val="none" w:sz="0" w:space="0" w:color="auto"/>
        <w:bottom w:val="none" w:sz="0" w:space="0" w:color="auto"/>
        <w:right w:val="none" w:sz="0" w:space="0" w:color="auto"/>
      </w:divBdr>
    </w:div>
    <w:div w:id="1170948969">
      <w:bodyDiv w:val="1"/>
      <w:marLeft w:val="0"/>
      <w:marRight w:val="0"/>
      <w:marTop w:val="0"/>
      <w:marBottom w:val="0"/>
      <w:divBdr>
        <w:top w:val="none" w:sz="0" w:space="0" w:color="auto"/>
        <w:left w:val="none" w:sz="0" w:space="0" w:color="auto"/>
        <w:bottom w:val="none" w:sz="0" w:space="0" w:color="auto"/>
        <w:right w:val="none" w:sz="0" w:space="0" w:color="auto"/>
      </w:divBdr>
    </w:div>
    <w:div w:id="1181243030">
      <w:bodyDiv w:val="1"/>
      <w:marLeft w:val="0"/>
      <w:marRight w:val="0"/>
      <w:marTop w:val="0"/>
      <w:marBottom w:val="0"/>
      <w:divBdr>
        <w:top w:val="none" w:sz="0" w:space="0" w:color="auto"/>
        <w:left w:val="none" w:sz="0" w:space="0" w:color="auto"/>
        <w:bottom w:val="none" w:sz="0" w:space="0" w:color="auto"/>
        <w:right w:val="none" w:sz="0" w:space="0" w:color="auto"/>
      </w:divBdr>
    </w:div>
    <w:div w:id="1198544968">
      <w:bodyDiv w:val="1"/>
      <w:marLeft w:val="0"/>
      <w:marRight w:val="0"/>
      <w:marTop w:val="0"/>
      <w:marBottom w:val="0"/>
      <w:divBdr>
        <w:top w:val="none" w:sz="0" w:space="0" w:color="auto"/>
        <w:left w:val="none" w:sz="0" w:space="0" w:color="auto"/>
        <w:bottom w:val="none" w:sz="0" w:space="0" w:color="auto"/>
        <w:right w:val="none" w:sz="0" w:space="0" w:color="auto"/>
      </w:divBdr>
    </w:div>
    <w:div w:id="1214080316">
      <w:bodyDiv w:val="1"/>
      <w:marLeft w:val="0"/>
      <w:marRight w:val="0"/>
      <w:marTop w:val="0"/>
      <w:marBottom w:val="0"/>
      <w:divBdr>
        <w:top w:val="none" w:sz="0" w:space="0" w:color="auto"/>
        <w:left w:val="none" w:sz="0" w:space="0" w:color="auto"/>
        <w:bottom w:val="none" w:sz="0" w:space="0" w:color="auto"/>
        <w:right w:val="none" w:sz="0" w:space="0" w:color="auto"/>
      </w:divBdr>
      <w:divsChild>
        <w:div w:id="775095665">
          <w:marLeft w:val="0"/>
          <w:marRight w:val="0"/>
          <w:marTop w:val="0"/>
          <w:marBottom w:val="0"/>
          <w:divBdr>
            <w:top w:val="none" w:sz="0" w:space="0" w:color="auto"/>
            <w:left w:val="none" w:sz="0" w:space="0" w:color="auto"/>
            <w:bottom w:val="none" w:sz="0" w:space="0" w:color="auto"/>
            <w:right w:val="none" w:sz="0" w:space="0" w:color="auto"/>
          </w:divBdr>
        </w:div>
      </w:divsChild>
    </w:div>
    <w:div w:id="1353265126">
      <w:bodyDiv w:val="1"/>
      <w:marLeft w:val="0"/>
      <w:marRight w:val="0"/>
      <w:marTop w:val="0"/>
      <w:marBottom w:val="0"/>
      <w:divBdr>
        <w:top w:val="none" w:sz="0" w:space="0" w:color="auto"/>
        <w:left w:val="none" w:sz="0" w:space="0" w:color="auto"/>
        <w:bottom w:val="none" w:sz="0" w:space="0" w:color="auto"/>
        <w:right w:val="none" w:sz="0" w:space="0" w:color="auto"/>
      </w:divBdr>
    </w:div>
    <w:div w:id="1663386063">
      <w:bodyDiv w:val="1"/>
      <w:marLeft w:val="0"/>
      <w:marRight w:val="0"/>
      <w:marTop w:val="0"/>
      <w:marBottom w:val="0"/>
      <w:divBdr>
        <w:top w:val="none" w:sz="0" w:space="0" w:color="auto"/>
        <w:left w:val="none" w:sz="0" w:space="0" w:color="auto"/>
        <w:bottom w:val="none" w:sz="0" w:space="0" w:color="auto"/>
        <w:right w:val="none" w:sz="0" w:space="0" w:color="auto"/>
      </w:divBdr>
    </w:div>
    <w:div w:id="1670790894">
      <w:bodyDiv w:val="1"/>
      <w:marLeft w:val="0"/>
      <w:marRight w:val="0"/>
      <w:marTop w:val="0"/>
      <w:marBottom w:val="0"/>
      <w:divBdr>
        <w:top w:val="none" w:sz="0" w:space="0" w:color="auto"/>
        <w:left w:val="none" w:sz="0" w:space="0" w:color="auto"/>
        <w:bottom w:val="none" w:sz="0" w:space="0" w:color="auto"/>
        <w:right w:val="none" w:sz="0" w:space="0" w:color="auto"/>
      </w:divBdr>
      <w:divsChild>
        <w:div w:id="720059787">
          <w:marLeft w:val="0"/>
          <w:marRight w:val="0"/>
          <w:marTop w:val="240"/>
          <w:marBottom w:val="0"/>
          <w:divBdr>
            <w:top w:val="none" w:sz="0" w:space="0" w:color="auto"/>
            <w:left w:val="none" w:sz="0" w:space="0" w:color="auto"/>
            <w:bottom w:val="none" w:sz="0" w:space="0" w:color="auto"/>
            <w:right w:val="none" w:sz="0" w:space="0" w:color="auto"/>
          </w:divBdr>
        </w:div>
        <w:div w:id="214129079">
          <w:marLeft w:val="0"/>
          <w:marRight w:val="0"/>
          <w:marTop w:val="240"/>
          <w:marBottom w:val="0"/>
          <w:divBdr>
            <w:top w:val="none" w:sz="0" w:space="0" w:color="auto"/>
            <w:left w:val="none" w:sz="0" w:space="0" w:color="auto"/>
            <w:bottom w:val="none" w:sz="0" w:space="0" w:color="auto"/>
            <w:right w:val="none" w:sz="0" w:space="0" w:color="auto"/>
          </w:divBdr>
        </w:div>
      </w:divsChild>
    </w:div>
    <w:div w:id="1714036911">
      <w:bodyDiv w:val="1"/>
      <w:marLeft w:val="0"/>
      <w:marRight w:val="0"/>
      <w:marTop w:val="0"/>
      <w:marBottom w:val="0"/>
      <w:divBdr>
        <w:top w:val="none" w:sz="0" w:space="0" w:color="auto"/>
        <w:left w:val="none" w:sz="0" w:space="0" w:color="auto"/>
        <w:bottom w:val="none" w:sz="0" w:space="0" w:color="auto"/>
        <w:right w:val="none" w:sz="0" w:space="0" w:color="auto"/>
      </w:divBdr>
    </w:div>
    <w:div w:id="1717585260">
      <w:bodyDiv w:val="1"/>
      <w:marLeft w:val="0"/>
      <w:marRight w:val="0"/>
      <w:marTop w:val="0"/>
      <w:marBottom w:val="0"/>
      <w:divBdr>
        <w:top w:val="none" w:sz="0" w:space="0" w:color="auto"/>
        <w:left w:val="none" w:sz="0" w:space="0" w:color="auto"/>
        <w:bottom w:val="none" w:sz="0" w:space="0" w:color="auto"/>
        <w:right w:val="none" w:sz="0" w:space="0" w:color="auto"/>
      </w:divBdr>
    </w:div>
    <w:div w:id="1740133255">
      <w:bodyDiv w:val="1"/>
      <w:marLeft w:val="0"/>
      <w:marRight w:val="0"/>
      <w:marTop w:val="0"/>
      <w:marBottom w:val="0"/>
      <w:divBdr>
        <w:top w:val="none" w:sz="0" w:space="0" w:color="auto"/>
        <w:left w:val="none" w:sz="0" w:space="0" w:color="auto"/>
        <w:bottom w:val="none" w:sz="0" w:space="0" w:color="auto"/>
        <w:right w:val="none" w:sz="0" w:space="0" w:color="auto"/>
      </w:divBdr>
      <w:divsChild>
        <w:div w:id="727415055">
          <w:marLeft w:val="0"/>
          <w:marRight w:val="0"/>
          <w:marTop w:val="0"/>
          <w:marBottom w:val="0"/>
          <w:divBdr>
            <w:top w:val="none" w:sz="0" w:space="0" w:color="auto"/>
            <w:left w:val="none" w:sz="0" w:space="0" w:color="auto"/>
            <w:bottom w:val="none" w:sz="0" w:space="0" w:color="auto"/>
            <w:right w:val="none" w:sz="0" w:space="0" w:color="auto"/>
          </w:divBdr>
        </w:div>
        <w:div w:id="857431992">
          <w:marLeft w:val="0"/>
          <w:marRight w:val="0"/>
          <w:marTop w:val="0"/>
          <w:marBottom w:val="0"/>
          <w:divBdr>
            <w:top w:val="none" w:sz="0" w:space="0" w:color="auto"/>
            <w:left w:val="none" w:sz="0" w:space="0" w:color="auto"/>
            <w:bottom w:val="none" w:sz="0" w:space="0" w:color="auto"/>
            <w:right w:val="none" w:sz="0" w:space="0" w:color="auto"/>
          </w:divBdr>
        </w:div>
        <w:div w:id="886406128">
          <w:marLeft w:val="0"/>
          <w:marRight w:val="0"/>
          <w:marTop w:val="0"/>
          <w:marBottom w:val="0"/>
          <w:divBdr>
            <w:top w:val="none" w:sz="0" w:space="0" w:color="auto"/>
            <w:left w:val="none" w:sz="0" w:space="0" w:color="auto"/>
            <w:bottom w:val="none" w:sz="0" w:space="0" w:color="auto"/>
            <w:right w:val="none" w:sz="0" w:space="0" w:color="auto"/>
          </w:divBdr>
        </w:div>
        <w:div w:id="889926696">
          <w:marLeft w:val="0"/>
          <w:marRight w:val="0"/>
          <w:marTop w:val="0"/>
          <w:marBottom w:val="0"/>
          <w:divBdr>
            <w:top w:val="none" w:sz="0" w:space="0" w:color="auto"/>
            <w:left w:val="none" w:sz="0" w:space="0" w:color="auto"/>
            <w:bottom w:val="none" w:sz="0" w:space="0" w:color="auto"/>
            <w:right w:val="none" w:sz="0" w:space="0" w:color="auto"/>
          </w:divBdr>
        </w:div>
        <w:div w:id="1197279250">
          <w:marLeft w:val="0"/>
          <w:marRight w:val="0"/>
          <w:marTop w:val="0"/>
          <w:marBottom w:val="0"/>
          <w:divBdr>
            <w:top w:val="none" w:sz="0" w:space="0" w:color="auto"/>
            <w:left w:val="none" w:sz="0" w:space="0" w:color="auto"/>
            <w:bottom w:val="none" w:sz="0" w:space="0" w:color="auto"/>
            <w:right w:val="none" w:sz="0" w:space="0" w:color="auto"/>
          </w:divBdr>
        </w:div>
        <w:div w:id="1206256094">
          <w:marLeft w:val="0"/>
          <w:marRight w:val="0"/>
          <w:marTop w:val="0"/>
          <w:marBottom w:val="0"/>
          <w:divBdr>
            <w:top w:val="none" w:sz="0" w:space="0" w:color="auto"/>
            <w:left w:val="none" w:sz="0" w:space="0" w:color="auto"/>
            <w:bottom w:val="none" w:sz="0" w:space="0" w:color="auto"/>
            <w:right w:val="none" w:sz="0" w:space="0" w:color="auto"/>
          </w:divBdr>
        </w:div>
        <w:div w:id="1279945988">
          <w:marLeft w:val="0"/>
          <w:marRight w:val="0"/>
          <w:marTop w:val="0"/>
          <w:marBottom w:val="0"/>
          <w:divBdr>
            <w:top w:val="none" w:sz="0" w:space="0" w:color="auto"/>
            <w:left w:val="none" w:sz="0" w:space="0" w:color="auto"/>
            <w:bottom w:val="none" w:sz="0" w:space="0" w:color="auto"/>
            <w:right w:val="none" w:sz="0" w:space="0" w:color="auto"/>
          </w:divBdr>
        </w:div>
        <w:div w:id="1391731947">
          <w:marLeft w:val="0"/>
          <w:marRight w:val="0"/>
          <w:marTop w:val="0"/>
          <w:marBottom w:val="0"/>
          <w:divBdr>
            <w:top w:val="none" w:sz="0" w:space="0" w:color="auto"/>
            <w:left w:val="none" w:sz="0" w:space="0" w:color="auto"/>
            <w:bottom w:val="none" w:sz="0" w:space="0" w:color="auto"/>
            <w:right w:val="none" w:sz="0" w:space="0" w:color="auto"/>
          </w:divBdr>
        </w:div>
        <w:div w:id="1430008166">
          <w:marLeft w:val="0"/>
          <w:marRight w:val="0"/>
          <w:marTop w:val="0"/>
          <w:marBottom w:val="0"/>
          <w:divBdr>
            <w:top w:val="none" w:sz="0" w:space="0" w:color="auto"/>
            <w:left w:val="none" w:sz="0" w:space="0" w:color="auto"/>
            <w:bottom w:val="none" w:sz="0" w:space="0" w:color="auto"/>
            <w:right w:val="none" w:sz="0" w:space="0" w:color="auto"/>
          </w:divBdr>
        </w:div>
        <w:div w:id="1591229464">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27630360">
          <w:marLeft w:val="0"/>
          <w:marRight w:val="0"/>
          <w:marTop w:val="0"/>
          <w:marBottom w:val="0"/>
          <w:divBdr>
            <w:top w:val="none" w:sz="0" w:space="0" w:color="auto"/>
            <w:left w:val="none" w:sz="0" w:space="0" w:color="auto"/>
            <w:bottom w:val="none" w:sz="0" w:space="0" w:color="auto"/>
            <w:right w:val="none" w:sz="0" w:space="0" w:color="auto"/>
          </w:divBdr>
        </w:div>
        <w:div w:id="1848204600">
          <w:marLeft w:val="0"/>
          <w:marRight w:val="0"/>
          <w:marTop w:val="0"/>
          <w:marBottom w:val="0"/>
          <w:divBdr>
            <w:top w:val="none" w:sz="0" w:space="0" w:color="auto"/>
            <w:left w:val="none" w:sz="0" w:space="0" w:color="auto"/>
            <w:bottom w:val="none" w:sz="0" w:space="0" w:color="auto"/>
            <w:right w:val="none" w:sz="0" w:space="0" w:color="auto"/>
          </w:divBdr>
        </w:div>
        <w:div w:id="1910384464">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
    <w:div w:id="1821382541">
      <w:bodyDiv w:val="1"/>
      <w:marLeft w:val="0"/>
      <w:marRight w:val="0"/>
      <w:marTop w:val="0"/>
      <w:marBottom w:val="0"/>
      <w:divBdr>
        <w:top w:val="none" w:sz="0" w:space="0" w:color="auto"/>
        <w:left w:val="none" w:sz="0" w:space="0" w:color="auto"/>
        <w:bottom w:val="none" w:sz="0" w:space="0" w:color="auto"/>
        <w:right w:val="none" w:sz="0" w:space="0" w:color="auto"/>
      </w:divBdr>
    </w:div>
    <w:div w:id="1865745058">
      <w:bodyDiv w:val="1"/>
      <w:marLeft w:val="0"/>
      <w:marRight w:val="0"/>
      <w:marTop w:val="0"/>
      <w:marBottom w:val="0"/>
      <w:divBdr>
        <w:top w:val="none" w:sz="0" w:space="0" w:color="auto"/>
        <w:left w:val="none" w:sz="0" w:space="0" w:color="auto"/>
        <w:bottom w:val="none" w:sz="0" w:space="0" w:color="auto"/>
        <w:right w:val="none" w:sz="0" w:space="0" w:color="auto"/>
      </w:divBdr>
    </w:div>
    <w:div w:id="1975674207">
      <w:bodyDiv w:val="1"/>
      <w:marLeft w:val="0"/>
      <w:marRight w:val="0"/>
      <w:marTop w:val="0"/>
      <w:marBottom w:val="0"/>
      <w:divBdr>
        <w:top w:val="none" w:sz="0" w:space="0" w:color="auto"/>
        <w:left w:val="none" w:sz="0" w:space="0" w:color="auto"/>
        <w:bottom w:val="none" w:sz="0" w:space="0" w:color="auto"/>
        <w:right w:val="none" w:sz="0" w:space="0" w:color="auto"/>
      </w:divBdr>
      <w:divsChild>
        <w:div w:id="144400402">
          <w:marLeft w:val="0"/>
          <w:marRight w:val="0"/>
          <w:marTop w:val="0"/>
          <w:marBottom w:val="0"/>
          <w:divBdr>
            <w:top w:val="none" w:sz="0" w:space="0" w:color="auto"/>
            <w:left w:val="none" w:sz="0" w:space="0" w:color="auto"/>
            <w:bottom w:val="none" w:sz="0" w:space="0" w:color="auto"/>
            <w:right w:val="none" w:sz="0" w:space="0" w:color="auto"/>
          </w:divBdr>
        </w:div>
        <w:div w:id="148205963">
          <w:marLeft w:val="0"/>
          <w:marRight w:val="0"/>
          <w:marTop w:val="0"/>
          <w:marBottom w:val="0"/>
          <w:divBdr>
            <w:top w:val="none" w:sz="0" w:space="0" w:color="auto"/>
            <w:left w:val="none" w:sz="0" w:space="0" w:color="auto"/>
            <w:bottom w:val="none" w:sz="0" w:space="0" w:color="auto"/>
            <w:right w:val="none" w:sz="0" w:space="0" w:color="auto"/>
          </w:divBdr>
        </w:div>
        <w:div w:id="269826938">
          <w:marLeft w:val="0"/>
          <w:marRight w:val="0"/>
          <w:marTop w:val="0"/>
          <w:marBottom w:val="0"/>
          <w:divBdr>
            <w:top w:val="none" w:sz="0" w:space="0" w:color="auto"/>
            <w:left w:val="none" w:sz="0" w:space="0" w:color="auto"/>
            <w:bottom w:val="none" w:sz="0" w:space="0" w:color="auto"/>
            <w:right w:val="none" w:sz="0" w:space="0" w:color="auto"/>
          </w:divBdr>
        </w:div>
        <w:div w:id="734281962">
          <w:marLeft w:val="0"/>
          <w:marRight w:val="0"/>
          <w:marTop w:val="0"/>
          <w:marBottom w:val="0"/>
          <w:divBdr>
            <w:top w:val="none" w:sz="0" w:space="0" w:color="auto"/>
            <w:left w:val="none" w:sz="0" w:space="0" w:color="auto"/>
            <w:bottom w:val="none" w:sz="0" w:space="0" w:color="auto"/>
            <w:right w:val="none" w:sz="0" w:space="0" w:color="auto"/>
          </w:divBdr>
        </w:div>
        <w:div w:id="844898587">
          <w:marLeft w:val="0"/>
          <w:marRight w:val="0"/>
          <w:marTop w:val="0"/>
          <w:marBottom w:val="0"/>
          <w:divBdr>
            <w:top w:val="none" w:sz="0" w:space="0" w:color="auto"/>
            <w:left w:val="none" w:sz="0" w:space="0" w:color="auto"/>
            <w:bottom w:val="none" w:sz="0" w:space="0" w:color="auto"/>
            <w:right w:val="none" w:sz="0" w:space="0" w:color="auto"/>
          </w:divBdr>
        </w:div>
        <w:div w:id="863010581">
          <w:marLeft w:val="0"/>
          <w:marRight w:val="0"/>
          <w:marTop w:val="0"/>
          <w:marBottom w:val="0"/>
          <w:divBdr>
            <w:top w:val="none" w:sz="0" w:space="0" w:color="auto"/>
            <w:left w:val="none" w:sz="0" w:space="0" w:color="auto"/>
            <w:bottom w:val="none" w:sz="0" w:space="0" w:color="auto"/>
            <w:right w:val="none" w:sz="0" w:space="0" w:color="auto"/>
          </w:divBdr>
        </w:div>
        <w:div w:id="1131242903">
          <w:marLeft w:val="0"/>
          <w:marRight w:val="0"/>
          <w:marTop w:val="0"/>
          <w:marBottom w:val="0"/>
          <w:divBdr>
            <w:top w:val="none" w:sz="0" w:space="0" w:color="auto"/>
            <w:left w:val="none" w:sz="0" w:space="0" w:color="auto"/>
            <w:bottom w:val="none" w:sz="0" w:space="0" w:color="auto"/>
            <w:right w:val="none" w:sz="0" w:space="0" w:color="auto"/>
          </w:divBdr>
        </w:div>
        <w:div w:id="1239708301">
          <w:marLeft w:val="0"/>
          <w:marRight w:val="0"/>
          <w:marTop w:val="0"/>
          <w:marBottom w:val="0"/>
          <w:divBdr>
            <w:top w:val="none" w:sz="0" w:space="0" w:color="auto"/>
            <w:left w:val="none" w:sz="0" w:space="0" w:color="auto"/>
            <w:bottom w:val="none" w:sz="0" w:space="0" w:color="auto"/>
            <w:right w:val="none" w:sz="0" w:space="0" w:color="auto"/>
          </w:divBdr>
        </w:div>
        <w:div w:id="1473209571">
          <w:marLeft w:val="0"/>
          <w:marRight w:val="0"/>
          <w:marTop w:val="0"/>
          <w:marBottom w:val="0"/>
          <w:divBdr>
            <w:top w:val="none" w:sz="0" w:space="0" w:color="auto"/>
            <w:left w:val="none" w:sz="0" w:space="0" w:color="auto"/>
            <w:bottom w:val="none" w:sz="0" w:space="0" w:color="auto"/>
            <w:right w:val="none" w:sz="0" w:space="0" w:color="auto"/>
          </w:divBdr>
        </w:div>
        <w:div w:id="1805780210">
          <w:marLeft w:val="0"/>
          <w:marRight w:val="0"/>
          <w:marTop w:val="0"/>
          <w:marBottom w:val="0"/>
          <w:divBdr>
            <w:top w:val="none" w:sz="0" w:space="0" w:color="auto"/>
            <w:left w:val="none" w:sz="0" w:space="0" w:color="auto"/>
            <w:bottom w:val="none" w:sz="0" w:space="0" w:color="auto"/>
            <w:right w:val="none" w:sz="0" w:space="0" w:color="auto"/>
          </w:divBdr>
        </w:div>
        <w:div w:id="1858538149">
          <w:marLeft w:val="0"/>
          <w:marRight w:val="0"/>
          <w:marTop w:val="0"/>
          <w:marBottom w:val="0"/>
          <w:divBdr>
            <w:top w:val="none" w:sz="0" w:space="0" w:color="auto"/>
            <w:left w:val="none" w:sz="0" w:space="0" w:color="auto"/>
            <w:bottom w:val="none" w:sz="0" w:space="0" w:color="auto"/>
            <w:right w:val="none" w:sz="0" w:space="0" w:color="auto"/>
          </w:divBdr>
        </w:div>
        <w:div w:id="1918512055">
          <w:marLeft w:val="0"/>
          <w:marRight w:val="0"/>
          <w:marTop w:val="0"/>
          <w:marBottom w:val="0"/>
          <w:divBdr>
            <w:top w:val="none" w:sz="0" w:space="0" w:color="auto"/>
            <w:left w:val="none" w:sz="0" w:space="0" w:color="auto"/>
            <w:bottom w:val="none" w:sz="0" w:space="0" w:color="auto"/>
            <w:right w:val="none" w:sz="0" w:space="0" w:color="auto"/>
          </w:divBdr>
        </w:div>
        <w:div w:id="1928999875">
          <w:marLeft w:val="0"/>
          <w:marRight w:val="0"/>
          <w:marTop w:val="0"/>
          <w:marBottom w:val="0"/>
          <w:divBdr>
            <w:top w:val="none" w:sz="0" w:space="0" w:color="auto"/>
            <w:left w:val="none" w:sz="0" w:space="0" w:color="auto"/>
            <w:bottom w:val="none" w:sz="0" w:space="0" w:color="auto"/>
            <w:right w:val="none" w:sz="0" w:space="0" w:color="auto"/>
          </w:divBdr>
        </w:div>
        <w:div w:id="1970428203">
          <w:marLeft w:val="0"/>
          <w:marRight w:val="0"/>
          <w:marTop w:val="0"/>
          <w:marBottom w:val="0"/>
          <w:divBdr>
            <w:top w:val="none" w:sz="0" w:space="0" w:color="auto"/>
            <w:left w:val="none" w:sz="0" w:space="0" w:color="auto"/>
            <w:bottom w:val="none" w:sz="0" w:space="0" w:color="auto"/>
            <w:right w:val="none" w:sz="0" w:space="0" w:color="auto"/>
          </w:divBdr>
        </w:div>
      </w:divsChild>
    </w:div>
    <w:div w:id="20794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922A-036D-4EBA-B024-9686F93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65</Pages>
  <Words>18550</Words>
  <Characters>127868</Characters>
  <Application>Microsoft Office Word</Application>
  <DocSecurity>0</DocSecurity>
  <Lines>1065</Lines>
  <Paragraphs>292</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146126</CharactersWithSpaces>
  <SharedDoc>false</SharedDoc>
  <HLinks>
    <vt:vector size="246" baseType="variant">
      <vt:variant>
        <vt:i4>5570576</vt:i4>
      </vt:variant>
      <vt:variant>
        <vt:i4>135</vt:i4>
      </vt:variant>
      <vt:variant>
        <vt:i4>0</vt:i4>
      </vt:variant>
      <vt:variant>
        <vt:i4>5</vt:i4>
      </vt:variant>
      <vt:variant>
        <vt:lpwstr>http://www.mapy.opolskie.pl/</vt:lpwstr>
      </vt:variant>
      <vt:variant>
        <vt:lpwstr/>
      </vt:variant>
      <vt:variant>
        <vt:i4>6094906</vt:i4>
      </vt:variant>
      <vt:variant>
        <vt:i4>132</vt:i4>
      </vt:variant>
      <vt:variant>
        <vt:i4>0</vt:i4>
      </vt:variant>
      <vt:variant>
        <vt:i4>5</vt:i4>
      </vt:variant>
      <vt:variant>
        <vt:lpwstr>https://www.mos.gov.pl/kategoria/5681_krajowe/</vt:lpwstr>
      </vt:variant>
      <vt:variant>
        <vt:lpwstr/>
      </vt:variant>
      <vt:variant>
        <vt:i4>5963800</vt:i4>
      </vt:variant>
      <vt:variant>
        <vt:i4>129</vt:i4>
      </vt:variant>
      <vt:variant>
        <vt:i4>0</vt:i4>
      </vt:variant>
      <vt:variant>
        <vt:i4>5</vt:i4>
      </vt:variant>
      <vt:variant>
        <vt:lpwstr>http://eur-lex.europa.eu/legal-content/PL/TXT/?uri=celex:52000DC0001</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1179698</vt:i4>
      </vt:variant>
      <vt:variant>
        <vt:i4>116</vt:i4>
      </vt:variant>
      <vt:variant>
        <vt:i4>0</vt:i4>
      </vt:variant>
      <vt:variant>
        <vt:i4>5</vt:i4>
      </vt:variant>
      <vt:variant>
        <vt:lpwstr/>
      </vt:variant>
      <vt:variant>
        <vt:lpwstr>_Toc503859149</vt:lpwstr>
      </vt:variant>
      <vt:variant>
        <vt:i4>1179698</vt:i4>
      </vt:variant>
      <vt:variant>
        <vt:i4>113</vt:i4>
      </vt:variant>
      <vt:variant>
        <vt:i4>0</vt:i4>
      </vt:variant>
      <vt:variant>
        <vt:i4>5</vt:i4>
      </vt:variant>
      <vt:variant>
        <vt:lpwstr/>
      </vt:variant>
      <vt:variant>
        <vt:lpwstr>_Toc503859148</vt:lpwstr>
      </vt:variant>
      <vt:variant>
        <vt:i4>1179698</vt:i4>
      </vt:variant>
      <vt:variant>
        <vt:i4>110</vt:i4>
      </vt:variant>
      <vt:variant>
        <vt:i4>0</vt:i4>
      </vt:variant>
      <vt:variant>
        <vt:i4>5</vt:i4>
      </vt:variant>
      <vt:variant>
        <vt:lpwstr/>
      </vt:variant>
      <vt:variant>
        <vt:lpwstr>_Toc503859147</vt:lpwstr>
      </vt:variant>
      <vt:variant>
        <vt:i4>1179698</vt:i4>
      </vt:variant>
      <vt:variant>
        <vt:i4>107</vt:i4>
      </vt:variant>
      <vt:variant>
        <vt:i4>0</vt:i4>
      </vt:variant>
      <vt:variant>
        <vt:i4>5</vt:i4>
      </vt:variant>
      <vt:variant>
        <vt:lpwstr/>
      </vt:variant>
      <vt:variant>
        <vt:lpwstr>_Toc503859146</vt:lpwstr>
      </vt:variant>
      <vt:variant>
        <vt:i4>1179698</vt:i4>
      </vt:variant>
      <vt:variant>
        <vt:i4>104</vt:i4>
      </vt:variant>
      <vt:variant>
        <vt:i4>0</vt:i4>
      </vt:variant>
      <vt:variant>
        <vt:i4>5</vt:i4>
      </vt:variant>
      <vt:variant>
        <vt:lpwstr/>
      </vt:variant>
      <vt:variant>
        <vt:lpwstr>_Toc503859145</vt:lpwstr>
      </vt:variant>
      <vt:variant>
        <vt:i4>1179698</vt:i4>
      </vt:variant>
      <vt:variant>
        <vt:i4>101</vt:i4>
      </vt:variant>
      <vt:variant>
        <vt:i4>0</vt:i4>
      </vt:variant>
      <vt:variant>
        <vt:i4>5</vt:i4>
      </vt:variant>
      <vt:variant>
        <vt:lpwstr/>
      </vt:variant>
      <vt:variant>
        <vt:lpwstr>_Toc503859144</vt:lpwstr>
      </vt:variant>
      <vt:variant>
        <vt:i4>1179698</vt:i4>
      </vt:variant>
      <vt:variant>
        <vt:i4>98</vt:i4>
      </vt:variant>
      <vt:variant>
        <vt:i4>0</vt:i4>
      </vt:variant>
      <vt:variant>
        <vt:i4>5</vt:i4>
      </vt:variant>
      <vt:variant>
        <vt:lpwstr/>
      </vt:variant>
      <vt:variant>
        <vt:lpwstr>_Toc503859143</vt:lpwstr>
      </vt:variant>
      <vt:variant>
        <vt:i4>1179698</vt:i4>
      </vt:variant>
      <vt:variant>
        <vt:i4>95</vt:i4>
      </vt:variant>
      <vt:variant>
        <vt:i4>0</vt:i4>
      </vt:variant>
      <vt:variant>
        <vt:i4>5</vt:i4>
      </vt:variant>
      <vt:variant>
        <vt:lpwstr/>
      </vt:variant>
      <vt:variant>
        <vt:lpwstr>_Toc503859142</vt:lpwstr>
      </vt:variant>
      <vt:variant>
        <vt:i4>1179698</vt:i4>
      </vt:variant>
      <vt:variant>
        <vt:i4>92</vt:i4>
      </vt:variant>
      <vt:variant>
        <vt:i4>0</vt:i4>
      </vt:variant>
      <vt:variant>
        <vt:i4>5</vt:i4>
      </vt:variant>
      <vt:variant>
        <vt:lpwstr/>
      </vt:variant>
      <vt:variant>
        <vt:lpwstr>_Toc503859141</vt:lpwstr>
      </vt:variant>
      <vt:variant>
        <vt:i4>1179698</vt:i4>
      </vt:variant>
      <vt:variant>
        <vt:i4>89</vt:i4>
      </vt:variant>
      <vt:variant>
        <vt:i4>0</vt:i4>
      </vt:variant>
      <vt:variant>
        <vt:i4>5</vt:i4>
      </vt:variant>
      <vt:variant>
        <vt:lpwstr/>
      </vt:variant>
      <vt:variant>
        <vt:lpwstr>_Toc503859140</vt:lpwstr>
      </vt:variant>
      <vt:variant>
        <vt:i4>1376306</vt:i4>
      </vt:variant>
      <vt:variant>
        <vt:i4>86</vt:i4>
      </vt:variant>
      <vt:variant>
        <vt:i4>0</vt:i4>
      </vt:variant>
      <vt:variant>
        <vt:i4>5</vt:i4>
      </vt:variant>
      <vt:variant>
        <vt:lpwstr/>
      </vt:variant>
      <vt:variant>
        <vt:lpwstr>_Toc503859139</vt:lpwstr>
      </vt:variant>
      <vt:variant>
        <vt:i4>1376306</vt:i4>
      </vt:variant>
      <vt:variant>
        <vt:i4>83</vt:i4>
      </vt:variant>
      <vt:variant>
        <vt:i4>0</vt:i4>
      </vt:variant>
      <vt:variant>
        <vt:i4>5</vt:i4>
      </vt:variant>
      <vt:variant>
        <vt:lpwstr/>
      </vt:variant>
      <vt:variant>
        <vt:lpwstr>_Toc503859138</vt:lpwstr>
      </vt:variant>
      <vt:variant>
        <vt:i4>1376306</vt:i4>
      </vt:variant>
      <vt:variant>
        <vt:i4>80</vt:i4>
      </vt:variant>
      <vt:variant>
        <vt:i4>0</vt:i4>
      </vt:variant>
      <vt:variant>
        <vt:i4>5</vt:i4>
      </vt:variant>
      <vt:variant>
        <vt:lpwstr/>
      </vt:variant>
      <vt:variant>
        <vt:lpwstr>_Toc503859137</vt:lpwstr>
      </vt:variant>
      <vt:variant>
        <vt:i4>1376306</vt:i4>
      </vt:variant>
      <vt:variant>
        <vt:i4>77</vt:i4>
      </vt:variant>
      <vt:variant>
        <vt:i4>0</vt:i4>
      </vt:variant>
      <vt:variant>
        <vt:i4>5</vt:i4>
      </vt:variant>
      <vt:variant>
        <vt:lpwstr/>
      </vt:variant>
      <vt:variant>
        <vt:lpwstr>_Toc503859136</vt:lpwstr>
      </vt:variant>
      <vt:variant>
        <vt:i4>1376306</vt:i4>
      </vt:variant>
      <vt:variant>
        <vt:i4>74</vt:i4>
      </vt:variant>
      <vt:variant>
        <vt:i4>0</vt:i4>
      </vt:variant>
      <vt:variant>
        <vt:i4>5</vt:i4>
      </vt:variant>
      <vt:variant>
        <vt:lpwstr/>
      </vt:variant>
      <vt:variant>
        <vt:lpwstr>_Toc503859135</vt:lpwstr>
      </vt:variant>
      <vt:variant>
        <vt:i4>1376306</vt:i4>
      </vt:variant>
      <vt:variant>
        <vt:i4>71</vt:i4>
      </vt:variant>
      <vt:variant>
        <vt:i4>0</vt:i4>
      </vt:variant>
      <vt:variant>
        <vt:i4>5</vt:i4>
      </vt:variant>
      <vt:variant>
        <vt:lpwstr/>
      </vt:variant>
      <vt:variant>
        <vt:lpwstr>_Toc503859134</vt:lpwstr>
      </vt:variant>
      <vt:variant>
        <vt:i4>1376306</vt:i4>
      </vt:variant>
      <vt:variant>
        <vt:i4>68</vt:i4>
      </vt:variant>
      <vt:variant>
        <vt:i4>0</vt:i4>
      </vt:variant>
      <vt:variant>
        <vt:i4>5</vt:i4>
      </vt:variant>
      <vt:variant>
        <vt:lpwstr/>
      </vt:variant>
      <vt:variant>
        <vt:lpwstr>_Toc503859133</vt:lpwstr>
      </vt:variant>
      <vt:variant>
        <vt:i4>1376306</vt:i4>
      </vt:variant>
      <vt:variant>
        <vt:i4>65</vt:i4>
      </vt:variant>
      <vt:variant>
        <vt:i4>0</vt:i4>
      </vt:variant>
      <vt:variant>
        <vt:i4>5</vt:i4>
      </vt:variant>
      <vt:variant>
        <vt:lpwstr/>
      </vt:variant>
      <vt:variant>
        <vt:lpwstr>_Toc503859132</vt:lpwstr>
      </vt:variant>
      <vt:variant>
        <vt:i4>1376306</vt:i4>
      </vt:variant>
      <vt:variant>
        <vt:i4>62</vt:i4>
      </vt:variant>
      <vt:variant>
        <vt:i4>0</vt:i4>
      </vt:variant>
      <vt:variant>
        <vt:i4>5</vt:i4>
      </vt:variant>
      <vt:variant>
        <vt:lpwstr/>
      </vt:variant>
      <vt:variant>
        <vt:lpwstr>_Toc503859131</vt:lpwstr>
      </vt:variant>
      <vt:variant>
        <vt:i4>1376306</vt:i4>
      </vt:variant>
      <vt:variant>
        <vt:i4>59</vt:i4>
      </vt:variant>
      <vt:variant>
        <vt:i4>0</vt:i4>
      </vt:variant>
      <vt:variant>
        <vt:i4>5</vt:i4>
      </vt:variant>
      <vt:variant>
        <vt:lpwstr/>
      </vt:variant>
      <vt:variant>
        <vt:lpwstr>_Toc503859130</vt:lpwstr>
      </vt:variant>
      <vt:variant>
        <vt:i4>1310770</vt:i4>
      </vt:variant>
      <vt:variant>
        <vt:i4>53</vt:i4>
      </vt:variant>
      <vt:variant>
        <vt:i4>0</vt:i4>
      </vt:variant>
      <vt:variant>
        <vt:i4>5</vt:i4>
      </vt:variant>
      <vt:variant>
        <vt:lpwstr/>
      </vt:variant>
      <vt:variant>
        <vt:lpwstr>_Toc503859129</vt:lpwstr>
      </vt:variant>
      <vt:variant>
        <vt:i4>1310770</vt:i4>
      </vt:variant>
      <vt:variant>
        <vt:i4>47</vt:i4>
      </vt:variant>
      <vt:variant>
        <vt:i4>0</vt:i4>
      </vt:variant>
      <vt:variant>
        <vt:i4>5</vt:i4>
      </vt:variant>
      <vt:variant>
        <vt:lpwstr/>
      </vt:variant>
      <vt:variant>
        <vt:lpwstr>_Toc503859128</vt:lpwstr>
      </vt:variant>
      <vt:variant>
        <vt:i4>1310770</vt:i4>
      </vt:variant>
      <vt:variant>
        <vt:i4>41</vt:i4>
      </vt:variant>
      <vt:variant>
        <vt:i4>0</vt:i4>
      </vt:variant>
      <vt:variant>
        <vt:i4>5</vt:i4>
      </vt:variant>
      <vt:variant>
        <vt:lpwstr/>
      </vt:variant>
      <vt:variant>
        <vt:lpwstr>_Toc503859127</vt:lpwstr>
      </vt:variant>
      <vt:variant>
        <vt:i4>1310770</vt:i4>
      </vt:variant>
      <vt:variant>
        <vt:i4>35</vt:i4>
      </vt:variant>
      <vt:variant>
        <vt:i4>0</vt:i4>
      </vt:variant>
      <vt:variant>
        <vt:i4>5</vt:i4>
      </vt:variant>
      <vt:variant>
        <vt:lpwstr/>
      </vt:variant>
      <vt:variant>
        <vt:lpwstr>_Toc503859126</vt:lpwstr>
      </vt:variant>
      <vt:variant>
        <vt:i4>1310770</vt:i4>
      </vt:variant>
      <vt:variant>
        <vt:i4>29</vt:i4>
      </vt:variant>
      <vt:variant>
        <vt:i4>0</vt:i4>
      </vt:variant>
      <vt:variant>
        <vt:i4>5</vt:i4>
      </vt:variant>
      <vt:variant>
        <vt:lpwstr/>
      </vt:variant>
      <vt:variant>
        <vt:lpwstr>_Toc503859125</vt:lpwstr>
      </vt:variant>
      <vt:variant>
        <vt:i4>1310770</vt:i4>
      </vt:variant>
      <vt:variant>
        <vt:i4>23</vt:i4>
      </vt:variant>
      <vt:variant>
        <vt:i4>0</vt:i4>
      </vt:variant>
      <vt:variant>
        <vt:i4>5</vt:i4>
      </vt:variant>
      <vt:variant>
        <vt:lpwstr/>
      </vt:variant>
      <vt:variant>
        <vt:lpwstr>_Toc503859124</vt:lpwstr>
      </vt:variant>
      <vt:variant>
        <vt:i4>1310770</vt:i4>
      </vt:variant>
      <vt:variant>
        <vt:i4>17</vt:i4>
      </vt:variant>
      <vt:variant>
        <vt:i4>0</vt:i4>
      </vt:variant>
      <vt:variant>
        <vt:i4>5</vt:i4>
      </vt:variant>
      <vt:variant>
        <vt:lpwstr/>
      </vt:variant>
      <vt:variant>
        <vt:lpwstr>_Toc503859123</vt:lpwstr>
      </vt:variant>
      <vt:variant>
        <vt:i4>1310770</vt:i4>
      </vt:variant>
      <vt:variant>
        <vt:i4>11</vt:i4>
      </vt:variant>
      <vt:variant>
        <vt:i4>0</vt:i4>
      </vt:variant>
      <vt:variant>
        <vt:i4>5</vt:i4>
      </vt:variant>
      <vt:variant>
        <vt:lpwstr/>
      </vt:variant>
      <vt:variant>
        <vt:lpwstr>_Toc503859122</vt:lpwstr>
      </vt:variant>
      <vt:variant>
        <vt:i4>1310770</vt:i4>
      </vt:variant>
      <vt:variant>
        <vt:i4>5</vt:i4>
      </vt:variant>
      <vt:variant>
        <vt:i4>0</vt:i4>
      </vt:variant>
      <vt:variant>
        <vt:i4>5</vt:i4>
      </vt:variant>
      <vt:variant>
        <vt:lpwstr/>
      </vt:variant>
      <vt:variant>
        <vt:lpwstr>_Toc503859121</vt:lpwstr>
      </vt:variant>
      <vt:variant>
        <vt:i4>6619171</vt:i4>
      </vt:variant>
      <vt:variant>
        <vt:i4>15</vt:i4>
      </vt:variant>
      <vt:variant>
        <vt:i4>0</vt:i4>
      </vt:variant>
      <vt:variant>
        <vt:i4>5</vt:i4>
      </vt:variant>
      <vt:variant>
        <vt:lpwstr>http://www.ppp.gov.pl/</vt:lpwstr>
      </vt:variant>
      <vt:variant>
        <vt:lpwstr/>
      </vt:variant>
      <vt:variant>
        <vt:i4>5636191</vt:i4>
      </vt:variant>
      <vt:variant>
        <vt:i4>12</vt:i4>
      </vt:variant>
      <vt:variant>
        <vt:i4>0</vt:i4>
      </vt:variant>
      <vt:variant>
        <vt:i4>5</vt:i4>
      </vt:variant>
      <vt:variant>
        <vt:lpwstr>http://www.ppp.gov.pl/Aktualnosci/Strony/Narzedzie_wspierajace_przygotowanie_projektu_PPP.aspx</vt:lpwstr>
      </vt:variant>
      <vt:variant>
        <vt:lpwstr/>
      </vt:variant>
      <vt:variant>
        <vt:i4>4915304</vt:i4>
      </vt:variant>
      <vt:variant>
        <vt:i4>9</vt:i4>
      </vt:variant>
      <vt:variant>
        <vt:i4>0</vt:i4>
      </vt:variant>
      <vt:variant>
        <vt:i4>5</vt:i4>
      </vt:variant>
      <vt:variant>
        <vt:lpwstr>http://www.mf.gov.pl/documents/764034/1002167/2015_05_wytyczne_jst.pdf</vt:lpwstr>
      </vt:variant>
      <vt:variant>
        <vt:lpwstr/>
      </vt:variant>
      <vt:variant>
        <vt:i4>2359340</vt:i4>
      </vt:variant>
      <vt:variant>
        <vt:i4>6</vt:i4>
      </vt:variant>
      <vt:variant>
        <vt:i4>0</vt:i4>
      </vt:variant>
      <vt:variant>
        <vt:i4>5</vt:i4>
      </vt:variant>
      <vt:variant>
        <vt:lpwstr>https://www.funduszeeuropejskie.gov.pl/strony/o-funduszach/dokumenty/wytyczne-ministra-infrastruktury-i-rozwoju-w-zakresie-zagadnien-zwiazanych-z-przygotowaniem-projektow-inwestycyjnych-w-tym-projektow-generujacych-dochod-i-projektow-hybrydowych-na-lata-2014-2020-1/</vt:lpwstr>
      </vt:variant>
      <vt:variant>
        <vt:lpwstr/>
      </vt:variant>
      <vt:variant>
        <vt:i4>2752565</vt:i4>
      </vt:variant>
      <vt:variant>
        <vt:i4>3</vt:i4>
      </vt:variant>
      <vt:variant>
        <vt:i4>0</vt:i4>
      </vt:variant>
      <vt:variant>
        <vt:i4>5</vt:i4>
      </vt:variant>
      <vt:variant>
        <vt:lpwstr>http://www.mr.gov.pl/strony/zadania/fundusze-europejskie/wytyczne/wytyczne-na-lata-2014-2020/wytyczne-ministra-infrastruktury-i-rozwoju-w-zakresie-zagadnien-zwiazanych-z-przygotowaniem-projektow-inwestycyjnych-w-tym-projektow-generujacych-dochod-i-projektow/</vt:lpwstr>
      </vt:variant>
      <vt:variant>
        <vt:lpwstr/>
      </vt:variant>
      <vt:variant>
        <vt:i4>6946939</vt:i4>
      </vt:variant>
      <vt:variant>
        <vt:i4>0</vt:i4>
      </vt:variant>
      <vt:variant>
        <vt:i4>0</vt:i4>
      </vt:variant>
      <vt:variant>
        <vt:i4>5</vt:i4>
      </vt:variant>
      <vt:variant>
        <vt:lpwstr>http://www.ppp.gov.pl/KonferencjeIseminaria/Documents/20120404_opinia_oplata_za_dostepnosc.pdf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Krystyna Pokusa</cp:lastModifiedBy>
  <cp:revision>52</cp:revision>
  <cp:lastPrinted>2024-12-12T13:35:00Z</cp:lastPrinted>
  <dcterms:created xsi:type="dcterms:W3CDTF">2023-07-11T12:51:00Z</dcterms:created>
  <dcterms:modified xsi:type="dcterms:W3CDTF">2024-12-12T13:35:00Z</dcterms:modified>
</cp:coreProperties>
</file>